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4370" w14:textId="5E002029" w:rsidR="00FC2077" w:rsidRPr="00403914" w:rsidRDefault="00FC2077" w:rsidP="00D17EAE">
      <w:pPr>
        <w:rPr>
          <w:rFonts w:asciiTheme="majorHAnsi" w:hAnsiTheme="majorHAnsi" w:cstheme="majorHAnsi"/>
          <w:sz w:val="22"/>
          <w:szCs w:val="22"/>
        </w:rPr>
      </w:pPr>
      <w:r w:rsidRPr="00403914">
        <w:rPr>
          <w:rFonts w:asciiTheme="majorHAnsi" w:hAnsiTheme="majorHAnsi" w:cstheme="majorHAnsi"/>
          <w:sz w:val="22"/>
          <w:szCs w:val="22"/>
        </w:rPr>
        <w:t>Media release</w:t>
      </w:r>
    </w:p>
    <w:p w14:paraId="738FE201" w14:textId="21D94730" w:rsidR="00FC2077" w:rsidRPr="00403914" w:rsidRDefault="00FC2077" w:rsidP="00FC2077">
      <w:pPr>
        <w:rPr>
          <w:rFonts w:asciiTheme="majorHAnsi" w:hAnsiTheme="majorHAnsi" w:cstheme="majorHAnsi"/>
          <w:color w:val="FF0000"/>
          <w:sz w:val="22"/>
          <w:szCs w:val="22"/>
        </w:rPr>
      </w:pPr>
      <w:r w:rsidRPr="00403914">
        <w:rPr>
          <w:rFonts w:asciiTheme="majorHAnsi" w:hAnsiTheme="majorHAnsi" w:cstheme="majorHAnsi"/>
          <w:color w:val="FF0000"/>
          <w:sz w:val="22"/>
          <w:szCs w:val="22"/>
        </w:rPr>
        <w:t>EMBARGOED: 00:01, Monday 5th June 2023</w:t>
      </w:r>
    </w:p>
    <w:p w14:paraId="17E27B95" w14:textId="77777777" w:rsidR="00FC2077" w:rsidRPr="00403914" w:rsidRDefault="00FC2077" w:rsidP="00D17EAE">
      <w:pPr>
        <w:rPr>
          <w:rFonts w:asciiTheme="majorHAnsi" w:hAnsiTheme="majorHAnsi" w:cstheme="majorHAnsi"/>
          <w:sz w:val="22"/>
          <w:szCs w:val="22"/>
        </w:rPr>
      </w:pPr>
    </w:p>
    <w:p w14:paraId="4B23CAEF" w14:textId="77777777" w:rsidR="00242CCD" w:rsidRPr="00403914" w:rsidRDefault="00242CCD" w:rsidP="00D17EAE">
      <w:pPr>
        <w:rPr>
          <w:rFonts w:asciiTheme="majorHAnsi" w:hAnsiTheme="majorHAnsi" w:cstheme="majorHAnsi"/>
          <w:sz w:val="22"/>
          <w:szCs w:val="22"/>
        </w:rPr>
      </w:pPr>
    </w:p>
    <w:p w14:paraId="3A24E7E0" w14:textId="52D037CD" w:rsidR="00FC2077" w:rsidRPr="00403914" w:rsidRDefault="009D34ED" w:rsidP="00995E92">
      <w:pPr>
        <w:jc w:val="center"/>
        <w:rPr>
          <w:rFonts w:asciiTheme="majorHAnsi" w:hAnsiTheme="majorHAnsi" w:cstheme="majorHAnsi"/>
          <w:b/>
          <w:bCs/>
          <w:sz w:val="28"/>
          <w:szCs w:val="28"/>
        </w:rPr>
      </w:pPr>
      <w:r w:rsidRPr="00403914">
        <w:rPr>
          <w:rFonts w:asciiTheme="majorHAnsi" w:hAnsiTheme="majorHAnsi" w:cstheme="majorHAnsi"/>
          <w:b/>
          <w:bCs/>
          <w:sz w:val="28"/>
          <w:szCs w:val="28"/>
        </w:rPr>
        <w:t xml:space="preserve">Three quarters of </w:t>
      </w:r>
      <w:r w:rsidR="0015649B" w:rsidRPr="00403914">
        <w:rPr>
          <w:rFonts w:asciiTheme="majorHAnsi" w:hAnsiTheme="majorHAnsi" w:cstheme="majorHAnsi"/>
          <w:b/>
          <w:bCs/>
          <w:sz w:val="28"/>
          <w:szCs w:val="28"/>
        </w:rPr>
        <w:t xml:space="preserve">London </w:t>
      </w:r>
      <w:r w:rsidRPr="00403914">
        <w:rPr>
          <w:rFonts w:asciiTheme="majorHAnsi" w:hAnsiTheme="majorHAnsi" w:cstheme="majorHAnsi"/>
          <w:b/>
          <w:bCs/>
          <w:sz w:val="28"/>
          <w:szCs w:val="28"/>
        </w:rPr>
        <w:t xml:space="preserve">children </w:t>
      </w:r>
      <w:r w:rsidR="006327F4" w:rsidRPr="00403914">
        <w:rPr>
          <w:rFonts w:asciiTheme="majorHAnsi" w:hAnsiTheme="majorHAnsi" w:cstheme="majorHAnsi"/>
          <w:b/>
          <w:bCs/>
          <w:sz w:val="28"/>
          <w:szCs w:val="28"/>
        </w:rPr>
        <w:t>in</w:t>
      </w:r>
      <w:r w:rsidRPr="00403914">
        <w:rPr>
          <w:rFonts w:asciiTheme="majorHAnsi" w:hAnsiTheme="majorHAnsi" w:cstheme="majorHAnsi"/>
          <w:b/>
          <w:bCs/>
          <w:sz w:val="28"/>
          <w:szCs w:val="28"/>
        </w:rPr>
        <w:t xml:space="preserve"> poverty are in a working household</w:t>
      </w:r>
    </w:p>
    <w:p w14:paraId="227E7ED6" w14:textId="77777777" w:rsidR="00D95AAB" w:rsidRPr="00403914" w:rsidRDefault="00D95AAB" w:rsidP="00995E92">
      <w:pPr>
        <w:jc w:val="center"/>
        <w:rPr>
          <w:rFonts w:asciiTheme="majorHAnsi" w:hAnsiTheme="majorHAnsi" w:cstheme="majorHAnsi"/>
          <w:b/>
          <w:bCs/>
          <w:sz w:val="22"/>
          <w:szCs w:val="22"/>
        </w:rPr>
      </w:pPr>
    </w:p>
    <w:p w14:paraId="7B48755E" w14:textId="42918389" w:rsidR="00D95AAB" w:rsidRPr="00403914" w:rsidRDefault="00D95AAB" w:rsidP="00D95AAB">
      <w:pPr>
        <w:pStyle w:val="ListParagraph"/>
        <w:spacing w:after="160" w:line="259" w:lineRule="auto"/>
        <w:jc w:val="center"/>
        <w:rPr>
          <w:rFonts w:asciiTheme="majorHAnsi" w:hAnsiTheme="majorHAnsi" w:cstheme="majorHAnsi"/>
        </w:rPr>
      </w:pPr>
      <w:r w:rsidRPr="00403914">
        <w:rPr>
          <w:rFonts w:asciiTheme="majorHAnsi" w:hAnsiTheme="majorHAnsi" w:cstheme="majorHAnsi"/>
          <w:sz w:val="22"/>
          <w:szCs w:val="22"/>
        </w:rPr>
        <w:t>-</w:t>
      </w:r>
      <w:r w:rsidRPr="00403914">
        <w:rPr>
          <w:rFonts w:asciiTheme="majorHAnsi" w:hAnsiTheme="majorHAnsi" w:cstheme="majorHAnsi"/>
        </w:rPr>
        <w:t xml:space="preserve"> Breakdown of London </w:t>
      </w:r>
      <w:r w:rsidR="00AC7FFD" w:rsidRPr="00403914">
        <w:rPr>
          <w:rFonts w:asciiTheme="majorHAnsi" w:hAnsiTheme="majorHAnsi" w:cstheme="majorHAnsi"/>
        </w:rPr>
        <w:t xml:space="preserve">local </w:t>
      </w:r>
      <w:r w:rsidRPr="00403914">
        <w:rPr>
          <w:rFonts w:asciiTheme="majorHAnsi" w:hAnsiTheme="majorHAnsi" w:cstheme="majorHAnsi"/>
        </w:rPr>
        <w:t>authority data available below</w:t>
      </w:r>
    </w:p>
    <w:p w14:paraId="1CADF555" w14:textId="25CB9CD3" w:rsidR="00D95AAB" w:rsidRPr="00403914" w:rsidRDefault="00D95AAB" w:rsidP="00995E92">
      <w:pPr>
        <w:jc w:val="center"/>
        <w:rPr>
          <w:rFonts w:asciiTheme="majorHAnsi" w:hAnsiTheme="majorHAnsi" w:cstheme="majorHAnsi"/>
          <w:b/>
          <w:bCs/>
          <w:sz w:val="22"/>
          <w:szCs w:val="22"/>
        </w:rPr>
      </w:pPr>
    </w:p>
    <w:p w14:paraId="5600FB62" w14:textId="77777777" w:rsidR="00D34046" w:rsidRPr="00403914" w:rsidRDefault="00D34046" w:rsidP="00995E92">
      <w:pPr>
        <w:rPr>
          <w:rFonts w:asciiTheme="majorHAnsi" w:hAnsiTheme="majorHAnsi" w:cstheme="majorHAnsi"/>
          <w:sz w:val="22"/>
          <w:szCs w:val="22"/>
        </w:rPr>
      </w:pPr>
    </w:p>
    <w:p w14:paraId="63C67C55" w14:textId="202B6997" w:rsidR="00D34046" w:rsidRPr="00403914" w:rsidRDefault="0015649B" w:rsidP="00D34046">
      <w:pPr>
        <w:rPr>
          <w:rFonts w:asciiTheme="majorHAnsi" w:hAnsiTheme="majorHAnsi" w:cstheme="majorHAnsi"/>
          <w:sz w:val="22"/>
          <w:szCs w:val="22"/>
        </w:rPr>
      </w:pPr>
      <w:r w:rsidRPr="00403914">
        <w:rPr>
          <w:rFonts w:asciiTheme="majorHAnsi" w:hAnsiTheme="majorHAnsi" w:cstheme="majorHAnsi"/>
          <w:sz w:val="22"/>
          <w:szCs w:val="22"/>
        </w:rPr>
        <w:t>Three quarters of children in poverty (74.5) in London have at least one parent with a job (measured before housing costs are accounted for)</w:t>
      </w:r>
      <w:r w:rsidR="00D34046" w:rsidRPr="00403914">
        <w:rPr>
          <w:rFonts w:asciiTheme="majorHAnsi" w:hAnsiTheme="majorHAnsi" w:cstheme="majorHAnsi"/>
          <w:sz w:val="22"/>
          <w:szCs w:val="22"/>
        </w:rPr>
        <w:t xml:space="preserve">, new analysis for the End Child Poverty coalition of charities shows. </w:t>
      </w:r>
    </w:p>
    <w:p w14:paraId="2BE28891" w14:textId="1923915A" w:rsidR="00D34046" w:rsidRPr="00403914" w:rsidRDefault="0015649B" w:rsidP="00403914">
      <w:pPr>
        <w:tabs>
          <w:tab w:val="left" w:pos="1353"/>
          <w:tab w:val="left" w:pos="3753"/>
        </w:tabs>
        <w:rPr>
          <w:rFonts w:asciiTheme="majorHAnsi" w:hAnsiTheme="majorHAnsi" w:cstheme="majorHAnsi"/>
          <w:sz w:val="22"/>
          <w:szCs w:val="22"/>
        </w:rPr>
      </w:pPr>
      <w:r w:rsidRPr="00403914">
        <w:rPr>
          <w:rFonts w:asciiTheme="majorHAnsi" w:hAnsiTheme="majorHAnsi" w:cstheme="majorHAnsi"/>
          <w:sz w:val="22"/>
          <w:szCs w:val="22"/>
        </w:rPr>
        <w:t xml:space="preserve"> </w:t>
      </w:r>
      <w:r w:rsidR="00403914">
        <w:rPr>
          <w:rFonts w:asciiTheme="majorHAnsi" w:hAnsiTheme="majorHAnsi" w:cstheme="majorHAnsi"/>
          <w:sz w:val="22"/>
          <w:szCs w:val="22"/>
        </w:rPr>
        <w:tab/>
      </w:r>
      <w:r w:rsidR="00403914">
        <w:rPr>
          <w:rFonts w:asciiTheme="majorHAnsi" w:hAnsiTheme="majorHAnsi" w:cstheme="majorHAnsi"/>
          <w:sz w:val="22"/>
          <w:szCs w:val="22"/>
        </w:rPr>
        <w:tab/>
      </w:r>
    </w:p>
    <w:p w14:paraId="2F6562E3" w14:textId="1406499F" w:rsidR="0085297C" w:rsidRPr="00403914" w:rsidRDefault="00D34046" w:rsidP="00FC2077">
      <w:pPr>
        <w:rPr>
          <w:rFonts w:asciiTheme="majorHAnsi" w:hAnsiTheme="majorHAnsi" w:cstheme="majorHAnsi"/>
          <w:sz w:val="22"/>
          <w:szCs w:val="22"/>
        </w:rPr>
      </w:pPr>
      <w:r w:rsidRPr="00403914">
        <w:rPr>
          <w:rFonts w:asciiTheme="majorHAnsi" w:hAnsiTheme="majorHAnsi" w:cstheme="majorHAnsi"/>
          <w:sz w:val="22"/>
          <w:szCs w:val="22"/>
        </w:rPr>
        <w:t>While overall, 33% of London’s children are in poverty (after housing costs are factored in), with Tower Hamlets recording the highest child poverty rate in the UK at 47.5</w:t>
      </w:r>
      <w:r w:rsidR="00242CCD" w:rsidRPr="00403914">
        <w:rPr>
          <w:rFonts w:asciiTheme="majorHAnsi" w:hAnsiTheme="majorHAnsi" w:cstheme="majorHAnsi"/>
          <w:sz w:val="22"/>
          <w:szCs w:val="22"/>
        </w:rPr>
        <w:t>%,</w:t>
      </w:r>
      <w:r w:rsidRPr="00403914">
        <w:rPr>
          <w:rFonts w:asciiTheme="majorHAnsi" w:hAnsiTheme="majorHAnsi" w:cstheme="majorHAnsi"/>
          <w:sz w:val="22"/>
          <w:szCs w:val="22"/>
        </w:rPr>
        <w:t xml:space="preserve"> </w:t>
      </w:r>
      <w:r w:rsidR="009D34ED" w:rsidRPr="00403914">
        <w:rPr>
          <w:rFonts w:asciiTheme="majorHAnsi" w:hAnsiTheme="majorHAnsi" w:cstheme="majorHAnsi"/>
          <w:sz w:val="22"/>
          <w:szCs w:val="22"/>
        </w:rPr>
        <w:t xml:space="preserve">children from minority ethnic groups </w:t>
      </w:r>
      <w:r w:rsidR="00AD5C58" w:rsidRPr="00403914">
        <w:rPr>
          <w:rFonts w:asciiTheme="majorHAnsi" w:hAnsiTheme="majorHAnsi" w:cstheme="majorHAnsi"/>
          <w:sz w:val="22"/>
          <w:szCs w:val="22"/>
        </w:rPr>
        <w:t>are far more at risk of poverty (4</w:t>
      </w:r>
      <w:r w:rsidR="00500005">
        <w:rPr>
          <w:rFonts w:asciiTheme="majorHAnsi" w:hAnsiTheme="majorHAnsi" w:cstheme="majorHAnsi"/>
          <w:sz w:val="22"/>
          <w:szCs w:val="22"/>
        </w:rPr>
        <w:t>6</w:t>
      </w:r>
      <w:r w:rsidR="00AD5C58" w:rsidRPr="00403914">
        <w:rPr>
          <w:rFonts w:asciiTheme="majorHAnsi" w:hAnsiTheme="majorHAnsi" w:cstheme="majorHAnsi"/>
          <w:sz w:val="22"/>
          <w:szCs w:val="22"/>
        </w:rPr>
        <w:t>%) than those with white ethnicity (20%)</w:t>
      </w:r>
      <w:r w:rsidR="00995E92" w:rsidRPr="00403914">
        <w:rPr>
          <w:rFonts w:asciiTheme="majorHAnsi" w:hAnsiTheme="majorHAnsi" w:cstheme="majorHAnsi"/>
          <w:sz w:val="22"/>
          <w:szCs w:val="22"/>
        </w:rPr>
        <w:t>, the analysis shows</w:t>
      </w:r>
      <w:r w:rsidRPr="00403914">
        <w:rPr>
          <w:rFonts w:asciiTheme="majorHAnsi" w:hAnsiTheme="majorHAnsi" w:cstheme="majorHAnsi"/>
          <w:sz w:val="22"/>
          <w:szCs w:val="22"/>
        </w:rPr>
        <w:t xml:space="preserve">.    </w:t>
      </w:r>
      <w:r w:rsidR="00995E92" w:rsidRPr="00403914">
        <w:rPr>
          <w:rFonts w:asciiTheme="majorHAnsi" w:hAnsiTheme="majorHAnsi" w:cstheme="majorHAnsi"/>
          <w:sz w:val="22"/>
          <w:szCs w:val="22"/>
        </w:rPr>
        <w:t xml:space="preserve"> </w:t>
      </w:r>
      <w:r w:rsidRPr="00403914">
        <w:rPr>
          <w:rFonts w:asciiTheme="majorHAnsi" w:hAnsiTheme="majorHAnsi" w:cstheme="majorHAnsi"/>
          <w:sz w:val="22"/>
          <w:szCs w:val="22"/>
        </w:rPr>
        <w:t>A</w:t>
      </w:r>
      <w:r w:rsidR="00995E92" w:rsidRPr="00403914">
        <w:rPr>
          <w:rFonts w:asciiTheme="majorHAnsi" w:hAnsiTheme="majorHAnsi" w:cstheme="majorHAnsi"/>
          <w:sz w:val="22"/>
          <w:szCs w:val="22"/>
        </w:rPr>
        <w:t>nd</w:t>
      </w:r>
      <w:r w:rsidR="006327F4" w:rsidRPr="00403914">
        <w:rPr>
          <w:rFonts w:asciiTheme="majorHAnsi" w:hAnsiTheme="majorHAnsi" w:cstheme="majorHAnsi"/>
          <w:sz w:val="22"/>
          <w:szCs w:val="22"/>
        </w:rPr>
        <w:t xml:space="preserve"> London lone parents are especially struggling, with 48% of children in one parent families </w:t>
      </w:r>
      <w:r w:rsidR="00BF54F4" w:rsidRPr="00403914">
        <w:rPr>
          <w:rFonts w:asciiTheme="majorHAnsi" w:hAnsiTheme="majorHAnsi" w:cstheme="majorHAnsi"/>
          <w:sz w:val="22"/>
          <w:szCs w:val="22"/>
        </w:rPr>
        <w:t xml:space="preserve">below the </w:t>
      </w:r>
      <w:r w:rsidR="006327F4" w:rsidRPr="00403914">
        <w:rPr>
          <w:rFonts w:asciiTheme="majorHAnsi" w:hAnsiTheme="majorHAnsi" w:cstheme="majorHAnsi"/>
          <w:sz w:val="22"/>
          <w:szCs w:val="22"/>
        </w:rPr>
        <w:t>poverty</w:t>
      </w:r>
      <w:r w:rsidR="00BF54F4" w:rsidRPr="00403914">
        <w:rPr>
          <w:rFonts w:asciiTheme="majorHAnsi" w:hAnsiTheme="majorHAnsi" w:cstheme="majorHAnsi"/>
          <w:sz w:val="22"/>
          <w:szCs w:val="22"/>
        </w:rPr>
        <w:t xml:space="preserve"> line</w:t>
      </w:r>
      <w:r w:rsidR="006327F4" w:rsidRPr="00403914">
        <w:rPr>
          <w:rFonts w:asciiTheme="majorHAnsi" w:hAnsiTheme="majorHAnsi" w:cstheme="majorHAnsi"/>
          <w:sz w:val="22"/>
          <w:szCs w:val="22"/>
        </w:rPr>
        <w:t xml:space="preserve">.   </w:t>
      </w:r>
    </w:p>
    <w:p w14:paraId="1E1B391B" w14:textId="77777777" w:rsidR="0085297C" w:rsidRPr="00403914" w:rsidRDefault="0085297C" w:rsidP="00FC2077">
      <w:pPr>
        <w:rPr>
          <w:rFonts w:asciiTheme="majorHAnsi" w:hAnsiTheme="majorHAnsi" w:cstheme="majorHAnsi"/>
          <w:sz w:val="22"/>
          <w:szCs w:val="22"/>
        </w:rPr>
      </w:pPr>
    </w:p>
    <w:p w14:paraId="4846F769" w14:textId="3E9A6424" w:rsidR="00C6670A" w:rsidRPr="00403914" w:rsidRDefault="002F03F5" w:rsidP="00FC2077">
      <w:pPr>
        <w:rPr>
          <w:rFonts w:asciiTheme="majorHAnsi" w:hAnsiTheme="majorHAnsi" w:cstheme="majorHAnsi"/>
          <w:sz w:val="22"/>
          <w:szCs w:val="22"/>
        </w:rPr>
      </w:pPr>
      <w:r w:rsidRPr="00403914">
        <w:rPr>
          <w:rFonts w:asciiTheme="majorHAnsi" w:hAnsiTheme="majorHAnsi" w:cstheme="majorHAnsi"/>
          <w:sz w:val="22"/>
          <w:szCs w:val="22"/>
        </w:rPr>
        <w:t xml:space="preserve">London children who have a disability are more likely to be </w:t>
      </w:r>
      <w:r w:rsidR="00BF54F4" w:rsidRPr="00403914">
        <w:rPr>
          <w:rFonts w:asciiTheme="majorHAnsi" w:hAnsiTheme="majorHAnsi" w:cstheme="majorHAnsi"/>
          <w:sz w:val="22"/>
          <w:szCs w:val="22"/>
        </w:rPr>
        <w:t xml:space="preserve">experiencing </w:t>
      </w:r>
      <w:r w:rsidRPr="00403914">
        <w:rPr>
          <w:rFonts w:asciiTheme="majorHAnsi" w:hAnsiTheme="majorHAnsi" w:cstheme="majorHAnsi"/>
          <w:sz w:val="22"/>
          <w:szCs w:val="22"/>
        </w:rPr>
        <w:t xml:space="preserve">poverty than those who don’t – at 35% and 32.8% respectively. </w:t>
      </w:r>
      <w:r w:rsidR="00995E92" w:rsidRPr="00403914">
        <w:rPr>
          <w:rFonts w:asciiTheme="majorHAnsi" w:hAnsiTheme="majorHAnsi" w:cstheme="majorHAnsi"/>
          <w:sz w:val="22"/>
          <w:szCs w:val="22"/>
        </w:rPr>
        <w:t xml:space="preserve">  </w:t>
      </w:r>
      <w:r w:rsidR="0015649B" w:rsidRPr="00403914">
        <w:rPr>
          <w:rFonts w:asciiTheme="majorHAnsi" w:hAnsiTheme="majorHAnsi" w:cstheme="majorHAnsi"/>
          <w:sz w:val="22"/>
          <w:szCs w:val="22"/>
        </w:rPr>
        <w:t xml:space="preserve">And </w:t>
      </w:r>
      <w:r w:rsidR="006603DA" w:rsidRPr="00403914">
        <w:rPr>
          <w:rFonts w:asciiTheme="majorHAnsi" w:hAnsiTheme="majorHAnsi" w:cstheme="majorHAnsi"/>
          <w:sz w:val="22"/>
          <w:szCs w:val="22"/>
        </w:rPr>
        <w:t>children</w:t>
      </w:r>
      <w:r w:rsidR="006327F4" w:rsidRPr="00403914">
        <w:rPr>
          <w:rFonts w:asciiTheme="majorHAnsi" w:hAnsiTheme="majorHAnsi" w:cstheme="majorHAnsi"/>
          <w:sz w:val="22"/>
          <w:szCs w:val="22"/>
        </w:rPr>
        <w:t xml:space="preserve"> with more than two siblings are also </w:t>
      </w:r>
      <w:r w:rsidR="00995E92" w:rsidRPr="00403914">
        <w:rPr>
          <w:rFonts w:asciiTheme="majorHAnsi" w:hAnsiTheme="majorHAnsi" w:cstheme="majorHAnsi"/>
          <w:sz w:val="22"/>
          <w:szCs w:val="22"/>
        </w:rPr>
        <w:t>at greater risk</w:t>
      </w:r>
      <w:r w:rsidR="0085297C" w:rsidRPr="00403914">
        <w:rPr>
          <w:rFonts w:asciiTheme="majorHAnsi" w:hAnsiTheme="majorHAnsi" w:cstheme="majorHAnsi"/>
          <w:sz w:val="22"/>
          <w:szCs w:val="22"/>
        </w:rPr>
        <w:t xml:space="preserve">– nationally, 42% of children in working families with three or more children are in poverty, compared to 22% of families with one or two children.  Among non-working families, the national figures are 75% for </w:t>
      </w:r>
      <w:r w:rsidRPr="00403914">
        <w:rPr>
          <w:rFonts w:asciiTheme="majorHAnsi" w:hAnsiTheme="majorHAnsi" w:cstheme="majorHAnsi"/>
          <w:sz w:val="22"/>
          <w:szCs w:val="22"/>
        </w:rPr>
        <w:t xml:space="preserve">families with three or more children and 64% for families with one or two children. </w:t>
      </w:r>
      <w:r w:rsidR="00242CCD" w:rsidRPr="00403914">
        <w:rPr>
          <w:rFonts w:asciiTheme="majorHAnsi" w:hAnsiTheme="majorHAnsi" w:cstheme="majorHAnsi"/>
          <w:sz w:val="22"/>
          <w:szCs w:val="22"/>
        </w:rPr>
        <w:t xml:space="preserve">  More than 50,000 London households are subject to the two-child limit in universal credit and child tax credit according to </w:t>
      </w:r>
      <w:r w:rsidR="000E7C4E" w:rsidRPr="00403914">
        <w:rPr>
          <w:rFonts w:asciiTheme="majorHAnsi" w:hAnsiTheme="majorHAnsi" w:cstheme="majorHAnsi"/>
          <w:sz w:val="22"/>
          <w:szCs w:val="22"/>
        </w:rPr>
        <w:t>Government</w:t>
      </w:r>
      <w:r w:rsidR="00242CCD" w:rsidRPr="00403914">
        <w:rPr>
          <w:rFonts w:asciiTheme="majorHAnsi" w:hAnsiTheme="majorHAnsi" w:cstheme="majorHAnsi"/>
          <w:sz w:val="22"/>
          <w:szCs w:val="22"/>
        </w:rPr>
        <w:t xml:space="preserve"> </w:t>
      </w:r>
      <w:r w:rsidR="00280BE2" w:rsidRPr="00403914">
        <w:rPr>
          <w:rFonts w:asciiTheme="majorHAnsi" w:hAnsiTheme="majorHAnsi" w:cstheme="majorHAnsi"/>
          <w:sz w:val="22"/>
          <w:szCs w:val="22"/>
        </w:rPr>
        <w:t>data</w:t>
      </w:r>
      <w:r w:rsidR="00242CCD" w:rsidRPr="00403914">
        <w:rPr>
          <w:rFonts w:asciiTheme="majorHAnsi" w:hAnsiTheme="majorHAnsi" w:cstheme="majorHAnsi"/>
          <w:sz w:val="22"/>
          <w:szCs w:val="22"/>
        </w:rPr>
        <w:t>. *</w:t>
      </w:r>
    </w:p>
    <w:p w14:paraId="66277967" w14:textId="77777777" w:rsidR="009D34ED" w:rsidRPr="00403914" w:rsidRDefault="009D34ED" w:rsidP="00FC2077">
      <w:pPr>
        <w:rPr>
          <w:rFonts w:asciiTheme="majorHAnsi" w:hAnsiTheme="majorHAnsi" w:cstheme="majorHAnsi"/>
          <w:sz w:val="22"/>
          <w:szCs w:val="22"/>
        </w:rPr>
      </w:pPr>
    </w:p>
    <w:p w14:paraId="6BEA2D0A" w14:textId="7FB30EDE" w:rsidR="00FF4541" w:rsidRPr="00403914" w:rsidRDefault="00EB57AD" w:rsidP="00D17EAE">
      <w:pPr>
        <w:rPr>
          <w:rFonts w:asciiTheme="majorHAnsi" w:hAnsiTheme="majorHAnsi" w:cstheme="majorHAnsi"/>
          <w:sz w:val="22"/>
          <w:szCs w:val="22"/>
        </w:rPr>
      </w:pPr>
      <w:r w:rsidRPr="00403914">
        <w:rPr>
          <w:rFonts w:asciiTheme="majorHAnsi" w:hAnsiTheme="majorHAnsi" w:cstheme="majorHAnsi"/>
          <w:sz w:val="22"/>
          <w:szCs w:val="22"/>
        </w:rPr>
        <w:t>T</w:t>
      </w:r>
      <w:r w:rsidR="00AC7FFD" w:rsidRPr="00403914">
        <w:rPr>
          <w:rFonts w:asciiTheme="majorHAnsi" w:hAnsiTheme="majorHAnsi" w:cstheme="majorHAnsi"/>
          <w:sz w:val="22"/>
          <w:szCs w:val="22"/>
        </w:rPr>
        <w:t>oday’s</w:t>
      </w:r>
      <w:r w:rsidRPr="00403914">
        <w:rPr>
          <w:rFonts w:asciiTheme="majorHAnsi" w:hAnsiTheme="majorHAnsi" w:cstheme="majorHAnsi"/>
          <w:sz w:val="22"/>
          <w:szCs w:val="22"/>
        </w:rPr>
        <w:t xml:space="preserve"> </w:t>
      </w:r>
      <w:r w:rsidR="00D61030" w:rsidRPr="00403914">
        <w:rPr>
          <w:rFonts w:asciiTheme="majorHAnsi" w:hAnsiTheme="majorHAnsi" w:cstheme="majorHAnsi"/>
          <w:sz w:val="22"/>
          <w:szCs w:val="22"/>
        </w:rPr>
        <w:t xml:space="preserve">End Child Poverty </w:t>
      </w:r>
      <w:r w:rsidRPr="00403914">
        <w:rPr>
          <w:rFonts w:asciiTheme="majorHAnsi" w:hAnsiTheme="majorHAnsi" w:cstheme="majorHAnsi"/>
          <w:sz w:val="22"/>
          <w:szCs w:val="22"/>
        </w:rPr>
        <w:t>figures, for the year to March 2022</w:t>
      </w:r>
      <w:r w:rsidR="00403914">
        <w:rPr>
          <w:rFonts w:asciiTheme="majorHAnsi" w:hAnsiTheme="majorHAnsi" w:cstheme="majorHAnsi"/>
          <w:sz w:val="22"/>
          <w:szCs w:val="22"/>
        </w:rPr>
        <w:t>,</w:t>
      </w:r>
      <w:r w:rsidRPr="00403914">
        <w:rPr>
          <w:rFonts w:asciiTheme="majorHAnsi" w:hAnsiTheme="majorHAnsi" w:cstheme="majorHAnsi"/>
          <w:sz w:val="22"/>
          <w:szCs w:val="22"/>
        </w:rPr>
        <w:t xml:space="preserve"> include a six</w:t>
      </w:r>
      <w:r w:rsidR="00920817" w:rsidRPr="00403914">
        <w:rPr>
          <w:rFonts w:asciiTheme="majorHAnsi" w:hAnsiTheme="majorHAnsi" w:cstheme="majorHAnsi"/>
          <w:sz w:val="22"/>
          <w:szCs w:val="22"/>
        </w:rPr>
        <w:t>-</w:t>
      </w:r>
      <w:r w:rsidRPr="00403914">
        <w:rPr>
          <w:rFonts w:asciiTheme="majorHAnsi" w:hAnsiTheme="majorHAnsi" w:cstheme="majorHAnsi"/>
          <w:sz w:val="22"/>
          <w:szCs w:val="22"/>
        </w:rPr>
        <w:t>month period in which the universal credit £20</w:t>
      </w:r>
      <w:r w:rsidR="00920817" w:rsidRPr="00403914">
        <w:rPr>
          <w:rFonts w:asciiTheme="majorHAnsi" w:hAnsiTheme="majorHAnsi" w:cstheme="majorHAnsi"/>
          <w:sz w:val="22"/>
          <w:szCs w:val="22"/>
        </w:rPr>
        <w:t xml:space="preserve"> week</w:t>
      </w:r>
      <w:r w:rsidR="00BF54F4" w:rsidRPr="00403914">
        <w:rPr>
          <w:rFonts w:asciiTheme="majorHAnsi" w:hAnsiTheme="majorHAnsi" w:cstheme="majorHAnsi"/>
          <w:sz w:val="22"/>
          <w:szCs w:val="22"/>
        </w:rPr>
        <w:t>ly</w:t>
      </w:r>
      <w:r w:rsidRPr="00403914">
        <w:rPr>
          <w:rFonts w:asciiTheme="majorHAnsi" w:hAnsiTheme="majorHAnsi" w:cstheme="majorHAnsi"/>
          <w:sz w:val="22"/>
          <w:szCs w:val="22"/>
        </w:rPr>
        <w:t xml:space="preserve"> uplift was in place but do not cover the months in which the cost of living crisis took hold</w:t>
      </w:r>
      <w:r w:rsidR="0015649B" w:rsidRPr="00403914">
        <w:rPr>
          <w:rFonts w:asciiTheme="majorHAnsi" w:hAnsiTheme="majorHAnsi" w:cstheme="majorHAnsi"/>
          <w:sz w:val="22"/>
          <w:szCs w:val="22"/>
        </w:rPr>
        <w:t xml:space="preserve">. </w:t>
      </w:r>
      <w:r w:rsidRPr="00403914">
        <w:rPr>
          <w:rFonts w:asciiTheme="majorHAnsi" w:hAnsiTheme="majorHAnsi" w:cstheme="majorHAnsi"/>
          <w:sz w:val="22"/>
          <w:szCs w:val="22"/>
        </w:rPr>
        <w:t xml:space="preserve">  With the £20 uplift now cut, and inflation </w:t>
      </w:r>
      <w:r w:rsidR="00920817" w:rsidRPr="00403914">
        <w:rPr>
          <w:rFonts w:asciiTheme="majorHAnsi" w:hAnsiTheme="majorHAnsi" w:cstheme="majorHAnsi"/>
          <w:sz w:val="22"/>
          <w:szCs w:val="22"/>
        </w:rPr>
        <w:t xml:space="preserve">persistently </w:t>
      </w:r>
      <w:r w:rsidRPr="00403914">
        <w:rPr>
          <w:rFonts w:asciiTheme="majorHAnsi" w:hAnsiTheme="majorHAnsi" w:cstheme="majorHAnsi"/>
          <w:sz w:val="22"/>
          <w:szCs w:val="22"/>
        </w:rPr>
        <w:t xml:space="preserve">high, the charities are warning of </w:t>
      </w:r>
      <w:r w:rsidR="00BF54F4" w:rsidRPr="00403914">
        <w:rPr>
          <w:rFonts w:asciiTheme="majorHAnsi" w:hAnsiTheme="majorHAnsi" w:cstheme="majorHAnsi"/>
          <w:sz w:val="22"/>
          <w:szCs w:val="22"/>
        </w:rPr>
        <w:t xml:space="preserve">more child poverty rises </w:t>
      </w:r>
      <w:r w:rsidRPr="00403914">
        <w:rPr>
          <w:rFonts w:asciiTheme="majorHAnsi" w:hAnsiTheme="majorHAnsi" w:cstheme="majorHAnsi"/>
          <w:sz w:val="22"/>
          <w:szCs w:val="22"/>
        </w:rPr>
        <w:t xml:space="preserve">to come.  </w:t>
      </w:r>
    </w:p>
    <w:p w14:paraId="3A867BDB" w14:textId="77777777" w:rsidR="00920817" w:rsidRPr="00403914" w:rsidRDefault="00920817" w:rsidP="00D17EAE">
      <w:pPr>
        <w:rPr>
          <w:rFonts w:asciiTheme="majorHAnsi" w:hAnsiTheme="majorHAnsi" w:cstheme="majorHAnsi"/>
          <w:sz w:val="22"/>
          <w:szCs w:val="22"/>
        </w:rPr>
      </w:pPr>
    </w:p>
    <w:p w14:paraId="41D71F9C" w14:textId="647FB824" w:rsidR="00920817" w:rsidRPr="00403914" w:rsidRDefault="00A13E17" w:rsidP="00D17EAE">
      <w:pPr>
        <w:rPr>
          <w:rFonts w:asciiTheme="majorHAnsi" w:hAnsiTheme="majorHAnsi" w:cstheme="majorHAnsi"/>
          <w:sz w:val="22"/>
          <w:szCs w:val="22"/>
        </w:rPr>
      </w:pPr>
      <w:r w:rsidRPr="00403914">
        <w:rPr>
          <w:rFonts w:asciiTheme="majorHAnsi" w:hAnsiTheme="majorHAnsi" w:cstheme="majorHAnsi"/>
          <w:sz w:val="22"/>
          <w:szCs w:val="22"/>
        </w:rPr>
        <w:t>Although child poverty is highest in the North East and West Midlands, it remains high in London-  f</w:t>
      </w:r>
      <w:r w:rsidR="00BE634B" w:rsidRPr="00403914">
        <w:rPr>
          <w:rFonts w:asciiTheme="majorHAnsi" w:hAnsiTheme="majorHAnsi" w:cstheme="majorHAnsi"/>
          <w:sz w:val="22"/>
          <w:szCs w:val="22"/>
        </w:rPr>
        <w:t>our</w:t>
      </w:r>
      <w:r w:rsidR="00920817" w:rsidRPr="00403914">
        <w:rPr>
          <w:rFonts w:asciiTheme="majorHAnsi" w:hAnsiTheme="majorHAnsi" w:cstheme="majorHAnsi"/>
          <w:sz w:val="22"/>
          <w:szCs w:val="22"/>
        </w:rPr>
        <w:t xml:space="preserve"> of the 20 UK local authorities with the highest child poverty rate</w:t>
      </w:r>
      <w:r w:rsidR="006603DA" w:rsidRPr="00403914">
        <w:rPr>
          <w:rFonts w:asciiTheme="majorHAnsi" w:hAnsiTheme="majorHAnsi" w:cstheme="majorHAnsi"/>
          <w:sz w:val="22"/>
          <w:szCs w:val="22"/>
        </w:rPr>
        <w:t>s</w:t>
      </w:r>
      <w:r w:rsidRPr="00403914">
        <w:rPr>
          <w:rFonts w:asciiTheme="majorHAnsi" w:hAnsiTheme="majorHAnsi" w:cstheme="majorHAnsi"/>
          <w:sz w:val="22"/>
          <w:szCs w:val="22"/>
        </w:rPr>
        <w:t xml:space="preserve"> are in the capital. </w:t>
      </w:r>
    </w:p>
    <w:p w14:paraId="2DB99100" w14:textId="77777777" w:rsidR="00920817" w:rsidRPr="00403914" w:rsidRDefault="00920817" w:rsidP="00D17EAE">
      <w:pPr>
        <w:rPr>
          <w:rFonts w:asciiTheme="majorHAnsi" w:hAnsiTheme="majorHAnsi" w:cstheme="majorHAnsi"/>
          <w:sz w:val="22"/>
          <w:szCs w:val="22"/>
        </w:rPr>
      </w:pPr>
    </w:p>
    <w:p w14:paraId="6C71BBEA" w14:textId="77777777" w:rsidR="00920817" w:rsidRPr="00403914" w:rsidRDefault="00920817" w:rsidP="00D17EAE">
      <w:pPr>
        <w:rPr>
          <w:rFonts w:asciiTheme="majorHAnsi" w:hAnsiTheme="majorHAnsi" w:cstheme="majorHAnsi"/>
          <w:sz w:val="22"/>
          <w:szCs w:val="22"/>
        </w:rPr>
      </w:pPr>
    </w:p>
    <w:p w14:paraId="456ED006" w14:textId="77777777" w:rsidR="00920817" w:rsidRPr="00403914" w:rsidRDefault="00920817" w:rsidP="00920817">
      <w:pPr>
        <w:ind w:left="1440" w:hanging="1440"/>
        <w:rPr>
          <w:rFonts w:asciiTheme="majorHAnsi" w:hAnsiTheme="majorHAnsi" w:cstheme="majorHAnsi"/>
          <w:b/>
          <w:bCs/>
        </w:rPr>
      </w:pPr>
      <w:r w:rsidRPr="00403914">
        <w:rPr>
          <w:rFonts w:asciiTheme="majorHAnsi" w:hAnsiTheme="majorHAnsi" w:cstheme="majorHAnsi"/>
          <w:b/>
          <w:bCs/>
        </w:rPr>
        <w:t>The 20 local authorities with highest child poverty rates, 2021/22</w:t>
      </w:r>
    </w:p>
    <w:p w14:paraId="72CABAEE" w14:textId="77777777" w:rsidR="00920817" w:rsidRPr="00403914" w:rsidRDefault="00920817" w:rsidP="00D17EAE">
      <w:pPr>
        <w:rPr>
          <w:rFonts w:asciiTheme="majorHAnsi" w:hAnsiTheme="majorHAnsi" w:cstheme="majorHAnsi"/>
          <w:sz w:val="22"/>
          <w:szCs w:val="22"/>
        </w:rPr>
      </w:pPr>
    </w:p>
    <w:tbl>
      <w:tblPr>
        <w:tblStyle w:val="TableGrid"/>
        <w:tblpPr w:leftFromText="180" w:rightFromText="180" w:vertAnchor="text" w:horzAnchor="margin" w:tblpY="101"/>
        <w:tblW w:w="9067" w:type="dxa"/>
        <w:tblLook w:val="04A0" w:firstRow="1" w:lastRow="0" w:firstColumn="1" w:lastColumn="0" w:noHBand="0" w:noVBand="1"/>
      </w:tblPr>
      <w:tblGrid>
        <w:gridCol w:w="2830"/>
        <w:gridCol w:w="6237"/>
      </w:tblGrid>
      <w:tr w:rsidR="00920817" w:rsidRPr="00403914" w14:paraId="372B1917" w14:textId="77777777" w:rsidTr="00920817">
        <w:tc>
          <w:tcPr>
            <w:tcW w:w="2830" w:type="dxa"/>
            <w:shd w:val="clear" w:color="auto" w:fill="330865"/>
          </w:tcPr>
          <w:p w14:paraId="4B959FAF" w14:textId="77777777" w:rsidR="00920817" w:rsidRPr="00403914" w:rsidRDefault="00920817" w:rsidP="00920817">
            <w:pPr>
              <w:rPr>
                <w:rFonts w:asciiTheme="majorHAnsi" w:eastAsia="Times New Roman" w:hAnsiTheme="majorHAnsi" w:cstheme="majorHAnsi"/>
                <w:b/>
                <w:bCs/>
                <w:lang w:eastAsia="en-GB"/>
              </w:rPr>
            </w:pPr>
            <w:r w:rsidRPr="00403914">
              <w:rPr>
                <w:rFonts w:asciiTheme="majorHAnsi" w:eastAsia="Times New Roman" w:hAnsiTheme="majorHAnsi" w:cstheme="majorHAnsi"/>
                <w:b/>
                <w:bCs/>
                <w:lang w:eastAsia="en-GB"/>
              </w:rPr>
              <w:t>Local authority</w:t>
            </w:r>
          </w:p>
        </w:tc>
        <w:tc>
          <w:tcPr>
            <w:tcW w:w="6237" w:type="dxa"/>
            <w:shd w:val="clear" w:color="auto" w:fill="330865"/>
          </w:tcPr>
          <w:p w14:paraId="461BE4F3" w14:textId="77777777" w:rsidR="00920817" w:rsidRPr="00403914" w:rsidRDefault="00920817" w:rsidP="00920817">
            <w:pPr>
              <w:jc w:val="center"/>
              <w:rPr>
                <w:rFonts w:asciiTheme="majorHAnsi" w:eastAsia="Times New Roman" w:hAnsiTheme="majorHAnsi" w:cstheme="majorHAnsi"/>
                <w:b/>
                <w:bCs/>
                <w:lang w:eastAsia="en-GB"/>
              </w:rPr>
            </w:pPr>
            <w:r w:rsidRPr="00403914">
              <w:rPr>
                <w:rFonts w:asciiTheme="majorHAnsi" w:eastAsia="Times New Roman" w:hAnsiTheme="majorHAnsi" w:cstheme="majorHAnsi"/>
                <w:b/>
                <w:bCs/>
                <w:lang w:eastAsia="en-GB"/>
              </w:rPr>
              <w:t>% of children below 60% median income after housing costs, 2021/22</w:t>
            </w:r>
          </w:p>
        </w:tc>
      </w:tr>
      <w:tr w:rsidR="00920817" w:rsidRPr="00403914" w14:paraId="087636D3" w14:textId="77777777" w:rsidTr="00920817">
        <w:tc>
          <w:tcPr>
            <w:tcW w:w="2830" w:type="dxa"/>
          </w:tcPr>
          <w:p w14:paraId="0B6E66E4" w14:textId="77777777" w:rsidR="00920817" w:rsidRPr="00403914" w:rsidRDefault="00920817" w:rsidP="00920817">
            <w:pPr>
              <w:rPr>
                <w:rFonts w:asciiTheme="majorHAnsi" w:hAnsiTheme="majorHAnsi" w:cstheme="majorHAnsi"/>
                <w:b/>
                <w:bCs/>
              </w:rPr>
            </w:pPr>
            <w:r w:rsidRPr="00403914">
              <w:rPr>
                <w:rFonts w:asciiTheme="majorHAnsi" w:hAnsiTheme="majorHAnsi" w:cstheme="majorHAnsi"/>
                <w:b/>
                <w:bCs/>
              </w:rPr>
              <w:t>UK</w:t>
            </w:r>
          </w:p>
        </w:tc>
        <w:tc>
          <w:tcPr>
            <w:tcW w:w="6237" w:type="dxa"/>
          </w:tcPr>
          <w:p w14:paraId="256E0302" w14:textId="77777777" w:rsidR="00920817" w:rsidRPr="00403914" w:rsidRDefault="00920817" w:rsidP="00920817">
            <w:pPr>
              <w:tabs>
                <w:tab w:val="decimal" w:pos="3012"/>
              </w:tabs>
              <w:rPr>
                <w:rFonts w:asciiTheme="majorHAnsi" w:hAnsiTheme="majorHAnsi" w:cstheme="majorHAnsi"/>
                <w:b/>
                <w:bCs/>
              </w:rPr>
            </w:pPr>
            <w:r w:rsidRPr="00403914">
              <w:rPr>
                <w:rFonts w:asciiTheme="majorHAnsi" w:hAnsiTheme="majorHAnsi" w:cstheme="majorHAnsi"/>
                <w:b/>
                <w:bCs/>
              </w:rPr>
              <w:t>29%</w:t>
            </w:r>
          </w:p>
        </w:tc>
      </w:tr>
      <w:tr w:rsidR="00920817" w:rsidRPr="00403914" w14:paraId="4244852F" w14:textId="77777777" w:rsidTr="00920817">
        <w:tc>
          <w:tcPr>
            <w:tcW w:w="2830" w:type="dxa"/>
          </w:tcPr>
          <w:p w14:paraId="3A2200FD" w14:textId="77777777" w:rsidR="00920817" w:rsidRPr="00403914" w:rsidRDefault="00920817" w:rsidP="00920817">
            <w:pPr>
              <w:rPr>
                <w:rFonts w:asciiTheme="majorHAnsi" w:hAnsiTheme="majorHAnsi" w:cstheme="majorHAnsi"/>
              </w:rPr>
            </w:pPr>
            <w:r w:rsidRPr="00403914">
              <w:rPr>
                <w:rFonts w:asciiTheme="majorHAnsi" w:hAnsiTheme="majorHAnsi" w:cstheme="majorHAnsi"/>
              </w:rPr>
              <w:t>Tower Hamlets</w:t>
            </w:r>
          </w:p>
        </w:tc>
        <w:tc>
          <w:tcPr>
            <w:tcW w:w="6237" w:type="dxa"/>
          </w:tcPr>
          <w:p w14:paraId="458CB690"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47.5%</w:t>
            </w:r>
          </w:p>
        </w:tc>
      </w:tr>
      <w:tr w:rsidR="00920817" w:rsidRPr="00403914" w14:paraId="546E4D81" w14:textId="77777777" w:rsidTr="00920817">
        <w:tc>
          <w:tcPr>
            <w:tcW w:w="2830" w:type="dxa"/>
          </w:tcPr>
          <w:p w14:paraId="59B631DE" w14:textId="77777777" w:rsidR="00920817" w:rsidRPr="00403914" w:rsidRDefault="00920817" w:rsidP="00920817">
            <w:pPr>
              <w:rPr>
                <w:rFonts w:asciiTheme="majorHAnsi" w:hAnsiTheme="majorHAnsi" w:cstheme="majorHAnsi"/>
              </w:rPr>
            </w:pPr>
            <w:r w:rsidRPr="00403914">
              <w:rPr>
                <w:rFonts w:asciiTheme="majorHAnsi" w:hAnsiTheme="majorHAnsi" w:cstheme="majorHAnsi"/>
              </w:rPr>
              <w:t>Birmingham</w:t>
            </w:r>
          </w:p>
        </w:tc>
        <w:tc>
          <w:tcPr>
            <w:tcW w:w="6237" w:type="dxa"/>
          </w:tcPr>
          <w:p w14:paraId="3DA3EAAA"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46.4%</w:t>
            </w:r>
          </w:p>
        </w:tc>
      </w:tr>
      <w:tr w:rsidR="00920817" w:rsidRPr="00403914" w14:paraId="041D99B2" w14:textId="77777777" w:rsidTr="00920817">
        <w:tc>
          <w:tcPr>
            <w:tcW w:w="2830" w:type="dxa"/>
          </w:tcPr>
          <w:p w14:paraId="26A02E39" w14:textId="77777777" w:rsidR="00920817" w:rsidRPr="00403914" w:rsidRDefault="00920817" w:rsidP="00920817">
            <w:pPr>
              <w:rPr>
                <w:rFonts w:asciiTheme="majorHAnsi" w:hAnsiTheme="majorHAnsi" w:cstheme="majorHAnsi"/>
              </w:rPr>
            </w:pPr>
            <w:r w:rsidRPr="00403914">
              <w:rPr>
                <w:rFonts w:asciiTheme="majorHAnsi" w:hAnsiTheme="majorHAnsi" w:cstheme="majorHAnsi"/>
              </w:rPr>
              <w:t>Manchester</w:t>
            </w:r>
          </w:p>
        </w:tc>
        <w:tc>
          <w:tcPr>
            <w:tcW w:w="6237" w:type="dxa"/>
          </w:tcPr>
          <w:p w14:paraId="6A1A0ACF"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44.7%</w:t>
            </w:r>
          </w:p>
        </w:tc>
      </w:tr>
      <w:tr w:rsidR="00920817" w:rsidRPr="00403914" w14:paraId="07E1A3A9" w14:textId="77777777" w:rsidTr="00920817">
        <w:tc>
          <w:tcPr>
            <w:tcW w:w="2830" w:type="dxa"/>
          </w:tcPr>
          <w:p w14:paraId="7E9DE3C1" w14:textId="77777777" w:rsidR="00920817" w:rsidRPr="00403914" w:rsidRDefault="00920817" w:rsidP="00920817">
            <w:pPr>
              <w:rPr>
                <w:rFonts w:asciiTheme="majorHAnsi" w:hAnsiTheme="majorHAnsi" w:cstheme="majorHAnsi"/>
              </w:rPr>
            </w:pPr>
            <w:r w:rsidRPr="00403914">
              <w:rPr>
                <w:rFonts w:asciiTheme="majorHAnsi" w:hAnsiTheme="majorHAnsi" w:cstheme="majorHAnsi"/>
              </w:rPr>
              <w:t>Sandwell</w:t>
            </w:r>
          </w:p>
        </w:tc>
        <w:tc>
          <w:tcPr>
            <w:tcW w:w="6237" w:type="dxa"/>
          </w:tcPr>
          <w:p w14:paraId="0A3755C2"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44.6%</w:t>
            </w:r>
          </w:p>
        </w:tc>
      </w:tr>
      <w:tr w:rsidR="00920817" w:rsidRPr="00403914" w14:paraId="42025585" w14:textId="77777777" w:rsidTr="00920817">
        <w:tc>
          <w:tcPr>
            <w:tcW w:w="2830" w:type="dxa"/>
          </w:tcPr>
          <w:p w14:paraId="76503600" w14:textId="77777777" w:rsidR="00920817" w:rsidRPr="00403914" w:rsidRDefault="00920817" w:rsidP="00920817">
            <w:pPr>
              <w:rPr>
                <w:rFonts w:asciiTheme="majorHAnsi" w:hAnsiTheme="majorHAnsi" w:cstheme="majorHAnsi"/>
              </w:rPr>
            </w:pPr>
            <w:r w:rsidRPr="00403914">
              <w:rPr>
                <w:rFonts w:asciiTheme="majorHAnsi" w:hAnsiTheme="majorHAnsi" w:cstheme="majorHAnsi"/>
              </w:rPr>
              <w:t>Newham</w:t>
            </w:r>
          </w:p>
        </w:tc>
        <w:tc>
          <w:tcPr>
            <w:tcW w:w="6237" w:type="dxa"/>
          </w:tcPr>
          <w:p w14:paraId="7E349342"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43.7%</w:t>
            </w:r>
          </w:p>
        </w:tc>
      </w:tr>
      <w:tr w:rsidR="00920817" w:rsidRPr="00403914" w14:paraId="3F48495F" w14:textId="77777777" w:rsidTr="00920817">
        <w:tc>
          <w:tcPr>
            <w:tcW w:w="2830" w:type="dxa"/>
          </w:tcPr>
          <w:p w14:paraId="6E97A39C" w14:textId="77777777" w:rsidR="00920817" w:rsidRPr="00403914" w:rsidRDefault="00920817" w:rsidP="00920817">
            <w:pPr>
              <w:rPr>
                <w:rFonts w:asciiTheme="majorHAnsi" w:hAnsiTheme="majorHAnsi" w:cstheme="majorHAnsi"/>
              </w:rPr>
            </w:pPr>
            <w:r w:rsidRPr="00403914">
              <w:rPr>
                <w:rFonts w:asciiTheme="majorHAnsi" w:hAnsiTheme="majorHAnsi" w:cstheme="majorHAnsi"/>
              </w:rPr>
              <w:t>Oldham</w:t>
            </w:r>
          </w:p>
        </w:tc>
        <w:tc>
          <w:tcPr>
            <w:tcW w:w="6237" w:type="dxa"/>
          </w:tcPr>
          <w:p w14:paraId="4A6C7EC6"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43.6%</w:t>
            </w:r>
          </w:p>
        </w:tc>
      </w:tr>
      <w:tr w:rsidR="00920817" w:rsidRPr="00403914" w14:paraId="539D97F5" w14:textId="77777777" w:rsidTr="00920817">
        <w:tc>
          <w:tcPr>
            <w:tcW w:w="2830" w:type="dxa"/>
          </w:tcPr>
          <w:p w14:paraId="53339A60" w14:textId="77777777" w:rsidR="00920817" w:rsidRPr="00403914" w:rsidRDefault="00920817" w:rsidP="00920817">
            <w:pPr>
              <w:rPr>
                <w:rFonts w:asciiTheme="majorHAnsi" w:hAnsiTheme="majorHAnsi" w:cstheme="majorHAnsi"/>
              </w:rPr>
            </w:pPr>
            <w:r w:rsidRPr="00403914">
              <w:rPr>
                <w:rFonts w:asciiTheme="majorHAnsi" w:hAnsiTheme="majorHAnsi" w:cstheme="majorHAnsi"/>
              </w:rPr>
              <w:t>Stoke-on-Trent</w:t>
            </w:r>
          </w:p>
        </w:tc>
        <w:tc>
          <w:tcPr>
            <w:tcW w:w="6237" w:type="dxa"/>
          </w:tcPr>
          <w:p w14:paraId="7DB63F0C"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43.5%</w:t>
            </w:r>
          </w:p>
        </w:tc>
      </w:tr>
      <w:tr w:rsidR="00920817" w:rsidRPr="00403914" w14:paraId="0E33798B" w14:textId="77777777" w:rsidTr="00920817">
        <w:tc>
          <w:tcPr>
            <w:tcW w:w="2830" w:type="dxa"/>
          </w:tcPr>
          <w:p w14:paraId="5FDB81B8"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Hackney</w:t>
            </w:r>
          </w:p>
        </w:tc>
        <w:tc>
          <w:tcPr>
            <w:tcW w:w="6237" w:type="dxa"/>
          </w:tcPr>
          <w:p w14:paraId="030C6962"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43.4%</w:t>
            </w:r>
          </w:p>
        </w:tc>
      </w:tr>
      <w:tr w:rsidR="00920817" w:rsidRPr="00403914" w14:paraId="7B9834F3" w14:textId="77777777" w:rsidTr="00920817">
        <w:tc>
          <w:tcPr>
            <w:tcW w:w="2830" w:type="dxa"/>
          </w:tcPr>
          <w:p w14:paraId="67CA9207"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lastRenderedPageBreak/>
              <w:t>Walsall</w:t>
            </w:r>
          </w:p>
        </w:tc>
        <w:tc>
          <w:tcPr>
            <w:tcW w:w="6237" w:type="dxa"/>
          </w:tcPr>
          <w:p w14:paraId="615100CA"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43.3%</w:t>
            </w:r>
          </w:p>
        </w:tc>
      </w:tr>
      <w:tr w:rsidR="00920817" w:rsidRPr="00403914" w14:paraId="3CF83A84" w14:textId="77777777" w:rsidTr="00920817">
        <w:tc>
          <w:tcPr>
            <w:tcW w:w="2830" w:type="dxa"/>
          </w:tcPr>
          <w:p w14:paraId="193439E1"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Wolverhampton</w:t>
            </w:r>
          </w:p>
        </w:tc>
        <w:tc>
          <w:tcPr>
            <w:tcW w:w="6237" w:type="dxa"/>
          </w:tcPr>
          <w:p w14:paraId="039D19ED"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43.3%</w:t>
            </w:r>
          </w:p>
        </w:tc>
      </w:tr>
      <w:tr w:rsidR="00920817" w:rsidRPr="00403914" w14:paraId="692B119A" w14:textId="77777777" w:rsidTr="00920817">
        <w:tc>
          <w:tcPr>
            <w:tcW w:w="2830" w:type="dxa"/>
          </w:tcPr>
          <w:p w14:paraId="19E9B43F"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Pendle</w:t>
            </w:r>
          </w:p>
        </w:tc>
        <w:tc>
          <w:tcPr>
            <w:tcW w:w="6237" w:type="dxa"/>
          </w:tcPr>
          <w:p w14:paraId="35B483A5"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42.5%</w:t>
            </w:r>
          </w:p>
        </w:tc>
      </w:tr>
      <w:tr w:rsidR="00920817" w:rsidRPr="00403914" w14:paraId="6C200D60" w14:textId="77777777" w:rsidTr="00920817">
        <w:trPr>
          <w:trHeight w:val="109"/>
        </w:trPr>
        <w:tc>
          <w:tcPr>
            <w:tcW w:w="2830" w:type="dxa"/>
          </w:tcPr>
          <w:p w14:paraId="344F37C8"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Blackburn with Darwen</w:t>
            </w:r>
          </w:p>
        </w:tc>
        <w:tc>
          <w:tcPr>
            <w:tcW w:w="6237" w:type="dxa"/>
          </w:tcPr>
          <w:p w14:paraId="5E1BD0A4"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42.2%</w:t>
            </w:r>
          </w:p>
        </w:tc>
      </w:tr>
      <w:tr w:rsidR="00920817" w:rsidRPr="00403914" w14:paraId="127B61C1" w14:textId="77777777" w:rsidTr="00920817">
        <w:tc>
          <w:tcPr>
            <w:tcW w:w="2830" w:type="dxa"/>
          </w:tcPr>
          <w:p w14:paraId="24AE0800"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Barking and Dagenham</w:t>
            </w:r>
          </w:p>
        </w:tc>
        <w:tc>
          <w:tcPr>
            <w:tcW w:w="6237" w:type="dxa"/>
          </w:tcPr>
          <w:p w14:paraId="43759FAC"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42.1%</w:t>
            </w:r>
          </w:p>
        </w:tc>
      </w:tr>
      <w:tr w:rsidR="00920817" w:rsidRPr="00403914" w14:paraId="14556FF7" w14:textId="77777777" w:rsidTr="00920817">
        <w:tc>
          <w:tcPr>
            <w:tcW w:w="2830" w:type="dxa"/>
          </w:tcPr>
          <w:p w14:paraId="2261DB8B"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Bolton</w:t>
            </w:r>
          </w:p>
        </w:tc>
        <w:tc>
          <w:tcPr>
            <w:tcW w:w="6237" w:type="dxa"/>
          </w:tcPr>
          <w:p w14:paraId="1F302057"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41.6%</w:t>
            </w:r>
          </w:p>
        </w:tc>
      </w:tr>
      <w:tr w:rsidR="00920817" w:rsidRPr="00403914" w14:paraId="5FFE681B" w14:textId="77777777" w:rsidTr="00920817">
        <w:tc>
          <w:tcPr>
            <w:tcW w:w="2830" w:type="dxa"/>
          </w:tcPr>
          <w:p w14:paraId="2CB51FB6"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Hyndburn</w:t>
            </w:r>
          </w:p>
        </w:tc>
        <w:tc>
          <w:tcPr>
            <w:tcW w:w="6237" w:type="dxa"/>
          </w:tcPr>
          <w:p w14:paraId="3B8E5FCF"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41.6%</w:t>
            </w:r>
          </w:p>
        </w:tc>
      </w:tr>
      <w:tr w:rsidR="00920817" w:rsidRPr="00403914" w14:paraId="44205638" w14:textId="77777777" w:rsidTr="00920817">
        <w:tc>
          <w:tcPr>
            <w:tcW w:w="2830" w:type="dxa"/>
          </w:tcPr>
          <w:p w14:paraId="3DECC0D4"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Nottingham</w:t>
            </w:r>
          </w:p>
        </w:tc>
        <w:tc>
          <w:tcPr>
            <w:tcW w:w="6237" w:type="dxa"/>
          </w:tcPr>
          <w:p w14:paraId="3EAE69DF"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41.0%</w:t>
            </w:r>
          </w:p>
        </w:tc>
      </w:tr>
      <w:tr w:rsidR="00920817" w:rsidRPr="00403914" w14:paraId="141587BC" w14:textId="77777777" w:rsidTr="00920817">
        <w:tc>
          <w:tcPr>
            <w:tcW w:w="2830" w:type="dxa"/>
          </w:tcPr>
          <w:p w14:paraId="279883C1"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Burnley</w:t>
            </w:r>
          </w:p>
        </w:tc>
        <w:tc>
          <w:tcPr>
            <w:tcW w:w="6237" w:type="dxa"/>
          </w:tcPr>
          <w:p w14:paraId="21033BB0"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40.7%</w:t>
            </w:r>
          </w:p>
        </w:tc>
      </w:tr>
      <w:tr w:rsidR="00920817" w:rsidRPr="00403914" w14:paraId="6803D611" w14:textId="77777777" w:rsidTr="00920817">
        <w:tc>
          <w:tcPr>
            <w:tcW w:w="2830" w:type="dxa"/>
          </w:tcPr>
          <w:p w14:paraId="19050500"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Leicester</w:t>
            </w:r>
          </w:p>
        </w:tc>
        <w:tc>
          <w:tcPr>
            <w:tcW w:w="6237" w:type="dxa"/>
          </w:tcPr>
          <w:p w14:paraId="709D9256"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40.6%</w:t>
            </w:r>
          </w:p>
        </w:tc>
      </w:tr>
      <w:tr w:rsidR="00920817" w:rsidRPr="00403914" w14:paraId="65FC999A" w14:textId="77777777" w:rsidTr="00920817">
        <w:tc>
          <w:tcPr>
            <w:tcW w:w="2830" w:type="dxa"/>
          </w:tcPr>
          <w:p w14:paraId="76382882"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Middlesbrough</w:t>
            </w:r>
          </w:p>
        </w:tc>
        <w:tc>
          <w:tcPr>
            <w:tcW w:w="6237" w:type="dxa"/>
          </w:tcPr>
          <w:p w14:paraId="6376F75D"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40.6%</w:t>
            </w:r>
          </w:p>
        </w:tc>
      </w:tr>
      <w:tr w:rsidR="00920817" w:rsidRPr="00403914" w14:paraId="07108B81" w14:textId="77777777" w:rsidTr="00920817">
        <w:tc>
          <w:tcPr>
            <w:tcW w:w="2830" w:type="dxa"/>
          </w:tcPr>
          <w:p w14:paraId="269D9B96" w14:textId="77777777" w:rsidR="00920817" w:rsidRPr="00403914" w:rsidRDefault="00920817" w:rsidP="00920817">
            <w:pPr>
              <w:rPr>
                <w:rFonts w:asciiTheme="majorHAnsi" w:eastAsia="Times New Roman" w:hAnsiTheme="majorHAnsi" w:cstheme="majorHAnsi"/>
                <w:lang w:eastAsia="en-GB"/>
              </w:rPr>
            </w:pPr>
            <w:r w:rsidRPr="00403914">
              <w:rPr>
                <w:rFonts w:asciiTheme="majorHAnsi" w:hAnsiTheme="majorHAnsi" w:cstheme="majorHAnsi"/>
              </w:rPr>
              <w:t>Rochdale</w:t>
            </w:r>
          </w:p>
        </w:tc>
        <w:tc>
          <w:tcPr>
            <w:tcW w:w="6237" w:type="dxa"/>
          </w:tcPr>
          <w:p w14:paraId="07669FE3" w14:textId="77777777" w:rsidR="00920817" w:rsidRPr="00403914" w:rsidRDefault="00920817" w:rsidP="00920817">
            <w:pPr>
              <w:tabs>
                <w:tab w:val="decimal" w:pos="3012"/>
              </w:tabs>
              <w:rPr>
                <w:rFonts w:asciiTheme="majorHAnsi" w:hAnsiTheme="majorHAnsi" w:cstheme="majorHAnsi"/>
              </w:rPr>
            </w:pPr>
            <w:r w:rsidRPr="00403914">
              <w:rPr>
                <w:rFonts w:asciiTheme="majorHAnsi" w:hAnsiTheme="majorHAnsi" w:cstheme="majorHAnsi"/>
              </w:rPr>
              <w:t>40.5%</w:t>
            </w:r>
          </w:p>
        </w:tc>
      </w:tr>
    </w:tbl>
    <w:p w14:paraId="6370C15F" w14:textId="77777777" w:rsidR="00920817" w:rsidRPr="00403914" w:rsidRDefault="00920817" w:rsidP="00D17EAE">
      <w:pPr>
        <w:rPr>
          <w:rFonts w:asciiTheme="majorHAnsi" w:hAnsiTheme="majorHAnsi" w:cstheme="majorHAnsi"/>
          <w:sz w:val="22"/>
          <w:szCs w:val="22"/>
        </w:rPr>
      </w:pPr>
    </w:p>
    <w:p w14:paraId="4B64C7EB" w14:textId="454D71E3" w:rsidR="00920817" w:rsidRPr="00500005" w:rsidRDefault="006603DA" w:rsidP="00D17EAE">
      <w:pPr>
        <w:rPr>
          <w:rFonts w:asciiTheme="majorHAnsi" w:hAnsiTheme="majorHAnsi" w:cstheme="majorHAnsi"/>
          <w:sz w:val="22"/>
          <w:szCs w:val="22"/>
        </w:rPr>
      </w:pPr>
      <w:r w:rsidRPr="00500005">
        <w:rPr>
          <w:rFonts w:asciiTheme="majorHAnsi" w:hAnsiTheme="majorHAnsi" w:cstheme="majorHAnsi"/>
          <w:sz w:val="22"/>
          <w:szCs w:val="22"/>
        </w:rPr>
        <w:t xml:space="preserve">The figures show the big effect that London’s high housing costs have on family finances - </w:t>
      </w:r>
      <w:proofErr w:type="gramStart"/>
      <w:r w:rsidRPr="00500005">
        <w:rPr>
          <w:rFonts w:asciiTheme="majorHAnsi" w:hAnsiTheme="majorHAnsi" w:cstheme="majorHAnsi"/>
          <w:sz w:val="22"/>
          <w:szCs w:val="22"/>
        </w:rPr>
        <w:t>all of</w:t>
      </w:r>
      <w:proofErr w:type="gramEnd"/>
      <w:r w:rsidRPr="00500005">
        <w:rPr>
          <w:rFonts w:asciiTheme="majorHAnsi" w:hAnsiTheme="majorHAnsi" w:cstheme="majorHAnsi"/>
          <w:sz w:val="22"/>
          <w:szCs w:val="22"/>
        </w:rPr>
        <w:t xml:space="preserve"> the 20 UK local authorities with the biggest difference between child poverty rates before and after housing costs are taken into account, are in London. </w:t>
      </w:r>
    </w:p>
    <w:p w14:paraId="345741B2" w14:textId="77777777" w:rsidR="006603DA" w:rsidRPr="00403914" w:rsidRDefault="006603DA" w:rsidP="00D17EAE">
      <w:pPr>
        <w:rPr>
          <w:rFonts w:asciiTheme="majorHAnsi" w:hAnsiTheme="majorHAnsi" w:cstheme="majorHAnsi"/>
          <w:sz w:val="22"/>
          <w:szCs w:val="22"/>
        </w:rPr>
      </w:pPr>
    </w:p>
    <w:p w14:paraId="58B0DF9A" w14:textId="678C06B7" w:rsidR="006603DA" w:rsidRPr="00403914" w:rsidRDefault="006603DA" w:rsidP="00D17EAE">
      <w:pPr>
        <w:rPr>
          <w:rFonts w:asciiTheme="majorHAnsi" w:hAnsiTheme="majorHAnsi" w:cstheme="majorHAnsi"/>
          <w:b/>
          <w:bCs/>
          <w:color w:val="330865"/>
        </w:rPr>
      </w:pPr>
      <w:r w:rsidRPr="00403914">
        <w:rPr>
          <w:rFonts w:asciiTheme="majorHAnsi" w:hAnsiTheme="majorHAnsi" w:cstheme="majorHAnsi"/>
          <w:b/>
          <w:bCs/>
          <w:color w:val="330865"/>
        </w:rPr>
        <w:t>The 20 local authorities with the highest after housing costs (AHC) compared to before housing costs (BHC) poverty rates, 2021/22</w:t>
      </w:r>
    </w:p>
    <w:p w14:paraId="5BCF493A" w14:textId="77777777" w:rsidR="006603DA" w:rsidRPr="00403914" w:rsidRDefault="006603DA" w:rsidP="00D17EAE">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539"/>
        <w:gridCol w:w="1611"/>
        <w:gridCol w:w="1612"/>
        <w:gridCol w:w="2254"/>
      </w:tblGrid>
      <w:tr w:rsidR="006603DA" w:rsidRPr="00403914" w14:paraId="23E84D60" w14:textId="77777777" w:rsidTr="00E8598E">
        <w:tc>
          <w:tcPr>
            <w:tcW w:w="3539" w:type="dxa"/>
            <w:vMerge w:val="restart"/>
            <w:shd w:val="clear" w:color="auto" w:fill="C093F7"/>
          </w:tcPr>
          <w:p w14:paraId="27CCBC1D" w14:textId="77777777" w:rsidR="006603DA" w:rsidRPr="00403914" w:rsidRDefault="006603DA" w:rsidP="00E8598E">
            <w:pPr>
              <w:rPr>
                <w:rFonts w:asciiTheme="majorHAnsi" w:eastAsia="Times New Roman" w:hAnsiTheme="majorHAnsi" w:cstheme="majorHAnsi"/>
                <w:b/>
                <w:bCs/>
                <w:lang w:eastAsia="en-GB"/>
              </w:rPr>
            </w:pPr>
            <w:r w:rsidRPr="00403914">
              <w:rPr>
                <w:rFonts w:asciiTheme="majorHAnsi" w:eastAsia="Times New Roman" w:hAnsiTheme="majorHAnsi" w:cstheme="majorHAnsi"/>
                <w:b/>
                <w:bCs/>
                <w:lang w:eastAsia="en-GB"/>
              </w:rPr>
              <w:t>Local Authority</w:t>
            </w:r>
          </w:p>
        </w:tc>
        <w:tc>
          <w:tcPr>
            <w:tcW w:w="5477" w:type="dxa"/>
            <w:gridSpan w:val="3"/>
            <w:shd w:val="clear" w:color="auto" w:fill="C093F7"/>
          </w:tcPr>
          <w:p w14:paraId="745960ED" w14:textId="77777777" w:rsidR="006603DA" w:rsidRPr="00403914" w:rsidRDefault="006603DA" w:rsidP="00E8598E">
            <w:pPr>
              <w:jc w:val="center"/>
              <w:rPr>
                <w:rFonts w:asciiTheme="majorHAnsi" w:eastAsia="Times New Roman" w:hAnsiTheme="majorHAnsi" w:cstheme="majorHAnsi"/>
                <w:b/>
                <w:bCs/>
                <w:lang w:eastAsia="en-GB"/>
              </w:rPr>
            </w:pPr>
            <w:r w:rsidRPr="00403914">
              <w:rPr>
                <w:rFonts w:asciiTheme="majorHAnsi" w:eastAsia="Times New Roman" w:hAnsiTheme="majorHAnsi" w:cstheme="majorHAnsi"/>
                <w:b/>
                <w:bCs/>
                <w:lang w:eastAsia="en-GB"/>
              </w:rPr>
              <w:t>% of children below 60% median income AHC</w:t>
            </w:r>
          </w:p>
        </w:tc>
      </w:tr>
      <w:tr w:rsidR="006603DA" w:rsidRPr="00403914" w14:paraId="7AE43A49" w14:textId="77777777" w:rsidTr="00E8598E">
        <w:tc>
          <w:tcPr>
            <w:tcW w:w="3539" w:type="dxa"/>
            <w:vMerge/>
            <w:shd w:val="clear" w:color="auto" w:fill="C093F7"/>
          </w:tcPr>
          <w:p w14:paraId="21ED174C" w14:textId="77777777" w:rsidR="006603DA" w:rsidRPr="00403914" w:rsidRDefault="006603DA" w:rsidP="00E8598E">
            <w:pPr>
              <w:rPr>
                <w:rFonts w:asciiTheme="majorHAnsi" w:eastAsia="Times New Roman" w:hAnsiTheme="majorHAnsi" w:cstheme="majorHAnsi"/>
                <w:lang w:eastAsia="en-GB"/>
              </w:rPr>
            </w:pPr>
          </w:p>
        </w:tc>
        <w:tc>
          <w:tcPr>
            <w:tcW w:w="1611" w:type="dxa"/>
            <w:shd w:val="clear" w:color="auto" w:fill="C093F7"/>
          </w:tcPr>
          <w:p w14:paraId="1FA373A9" w14:textId="77777777" w:rsidR="006603DA" w:rsidRPr="00403914" w:rsidRDefault="006603DA" w:rsidP="00E8598E">
            <w:pPr>
              <w:jc w:val="center"/>
              <w:rPr>
                <w:rFonts w:asciiTheme="majorHAnsi" w:eastAsia="Times New Roman" w:hAnsiTheme="majorHAnsi" w:cstheme="majorHAnsi"/>
                <w:b/>
                <w:bCs/>
                <w:lang w:eastAsia="en-GB"/>
              </w:rPr>
            </w:pPr>
            <w:r w:rsidRPr="00403914">
              <w:rPr>
                <w:rFonts w:asciiTheme="majorHAnsi" w:eastAsia="Times New Roman" w:hAnsiTheme="majorHAnsi" w:cstheme="majorHAnsi"/>
                <w:lang w:eastAsia="en-GB"/>
              </w:rPr>
              <w:t>AHC</w:t>
            </w:r>
          </w:p>
        </w:tc>
        <w:tc>
          <w:tcPr>
            <w:tcW w:w="1612" w:type="dxa"/>
            <w:shd w:val="clear" w:color="auto" w:fill="C093F7"/>
          </w:tcPr>
          <w:p w14:paraId="5C98E4F2" w14:textId="77777777" w:rsidR="006603DA" w:rsidRPr="00403914" w:rsidRDefault="006603DA" w:rsidP="00E8598E">
            <w:pPr>
              <w:jc w:val="center"/>
              <w:rPr>
                <w:rFonts w:asciiTheme="majorHAnsi" w:eastAsia="Times New Roman" w:hAnsiTheme="majorHAnsi" w:cstheme="majorHAnsi"/>
                <w:b/>
                <w:bCs/>
                <w:lang w:eastAsia="en-GB"/>
              </w:rPr>
            </w:pPr>
            <w:r w:rsidRPr="00403914">
              <w:rPr>
                <w:rFonts w:asciiTheme="majorHAnsi" w:eastAsia="Times New Roman" w:hAnsiTheme="majorHAnsi" w:cstheme="majorHAnsi"/>
                <w:lang w:eastAsia="en-GB"/>
              </w:rPr>
              <w:t>BHC</w:t>
            </w:r>
          </w:p>
        </w:tc>
        <w:tc>
          <w:tcPr>
            <w:tcW w:w="2254" w:type="dxa"/>
            <w:shd w:val="clear" w:color="auto" w:fill="C093F7"/>
          </w:tcPr>
          <w:p w14:paraId="70940DD9"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b/>
                <w:bCs/>
              </w:rPr>
              <w:t>Percentage point difference</w:t>
            </w:r>
          </w:p>
        </w:tc>
      </w:tr>
      <w:tr w:rsidR="006603DA" w:rsidRPr="00403914" w14:paraId="194A1597" w14:textId="77777777" w:rsidTr="00E8598E">
        <w:tc>
          <w:tcPr>
            <w:tcW w:w="3539" w:type="dxa"/>
            <w:vAlign w:val="center"/>
          </w:tcPr>
          <w:p w14:paraId="209CF77C" w14:textId="77777777" w:rsidR="006603DA" w:rsidRPr="00403914" w:rsidRDefault="006603DA" w:rsidP="00E8598E">
            <w:pPr>
              <w:rPr>
                <w:rFonts w:asciiTheme="majorHAnsi" w:hAnsiTheme="majorHAnsi" w:cstheme="majorHAnsi"/>
                <w:b/>
                <w:bCs/>
              </w:rPr>
            </w:pPr>
            <w:r w:rsidRPr="00403914">
              <w:rPr>
                <w:rFonts w:asciiTheme="majorHAnsi" w:hAnsiTheme="majorHAnsi" w:cstheme="majorHAnsi"/>
                <w:b/>
                <w:bCs/>
                <w:color w:val="000000"/>
              </w:rPr>
              <w:t>UK</w:t>
            </w:r>
          </w:p>
        </w:tc>
        <w:tc>
          <w:tcPr>
            <w:tcW w:w="1611" w:type="dxa"/>
            <w:vAlign w:val="center"/>
          </w:tcPr>
          <w:p w14:paraId="40CF185A" w14:textId="77777777" w:rsidR="006603DA" w:rsidRPr="00403914" w:rsidRDefault="006603DA" w:rsidP="00E8598E">
            <w:pPr>
              <w:jc w:val="center"/>
              <w:rPr>
                <w:rFonts w:asciiTheme="majorHAnsi" w:hAnsiTheme="majorHAnsi" w:cstheme="majorHAnsi"/>
                <w:b/>
                <w:bCs/>
              </w:rPr>
            </w:pPr>
            <w:r w:rsidRPr="00403914">
              <w:rPr>
                <w:rFonts w:asciiTheme="majorHAnsi" w:hAnsiTheme="majorHAnsi" w:cstheme="majorHAnsi"/>
                <w:b/>
                <w:bCs/>
                <w:color w:val="000000"/>
              </w:rPr>
              <w:t>29%</w:t>
            </w:r>
          </w:p>
        </w:tc>
        <w:tc>
          <w:tcPr>
            <w:tcW w:w="1612" w:type="dxa"/>
            <w:vAlign w:val="center"/>
          </w:tcPr>
          <w:p w14:paraId="63E61966" w14:textId="77777777" w:rsidR="006603DA" w:rsidRPr="00403914" w:rsidRDefault="006603DA" w:rsidP="00E8598E">
            <w:pPr>
              <w:jc w:val="center"/>
              <w:rPr>
                <w:rFonts w:asciiTheme="majorHAnsi" w:hAnsiTheme="majorHAnsi" w:cstheme="majorHAnsi"/>
                <w:b/>
                <w:bCs/>
              </w:rPr>
            </w:pPr>
            <w:r w:rsidRPr="00403914">
              <w:rPr>
                <w:rFonts w:asciiTheme="majorHAnsi" w:hAnsiTheme="majorHAnsi" w:cstheme="majorHAnsi"/>
                <w:b/>
                <w:bCs/>
                <w:color w:val="000000"/>
              </w:rPr>
              <w:t>20%</w:t>
            </w:r>
          </w:p>
        </w:tc>
        <w:tc>
          <w:tcPr>
            <w:tcW w:w="2254" w:type="dxa"/>
            <w:vAlign w:val="center"/>
          </w:tcPr>
          <w:p w14:paraId="0D693CB1" w14:textId="77777777" w:rsidR="006603DA" w:rsidRPr="00403914" w:rsidRDefault="006603DA" w:rsidP="00E8598E">
            <w:pPr>
              <w:tabs>
                <w:tab w:val="decimal" w:pos="219"/>
              </w:tabs>
              <w:jc w:val="center"/>
              <w:rPr>
                <w:rFonts w:asciiTheme="majorHAnsi" w:hAnsiTheme="majorHAnsi" w:cstheme="majorHAnsi"/>
                <w:b/>
                <w:bCs/>
              </w:rPr>
            </w:pPr>
            <w:r w:rsidRPr="00403914">
              <w:rPr>
                <w:rFonts w:asciiTheme="majorHAnsi" w:hAnsiTheme="majorHAnsi" w:cstheme="majorHAnsi"/>
                <w:b/>
                <w:bCs/>
                <w:color w:val="000000"/>
              </w:rPr>
              <w:t>9ppt</w:t>
            </w:r>
          </w:p>
        </w:tc>
      </w:tr>
      <w:tr w:rsidR="006603DA" w:rsidRPr="00403914" w14:paraId="43AF7771" w14:textId="77777777" w:rsidTr="00E8598E">
        <w:trPr>
          <w:trHeight w:val="264"/>
        </w:trPr>
        <w:tc>
          <w:tcPr>
            <w:tcW w:w="3539" w:type="dxa"/>
            <w:noWrap/>
            <w:vAlign w:val="center"/>
          </w:tcPr>
          <w:p w14:paraId="4A2AF9AD"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Tower Hamlets</w:t>
            </w:r>
          </w:p>
        </w:tc>
        <w:tc>
          <w:tcPr>
            <w:tcW w:w="1611" w:type="dxa"/>
            <w:noWrap/>
            <w:vAlign w:val="center"/>
          </w:tcPr>
          <w:p w14:paraId="6DB9480C"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47.5%</w:t>
            </w:r>
          </w:p>
        </w:tc>
        <w:tc>
          <w:tcPr>
            <w:tcW w:w="1612" w:type="dxa"/>
            <w:noWrap/>
            <w:vAlign w:val="center"/>
          </w:tcPr>
          <w:p w14:paraId="780DEB44"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26.7%</w:t>
            </w:r>
          </w:p>
        </w:tc>
        <w:tc>
          <w:tcPr>
            <w:tcW w:w="2254" w:type="dxa"/>
            <w:noWrap/>
            <w:vAlign w:val="center"/>
          </w:tcPr>
          <w:p w14:paraId="49079A18"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20.8ppt</w:t>
            </w:r>
          </w:p>
        </w:tc>
      </w:tr>
      <w:tr w:rsidR="006603DA" w:rsidRPr="00403914" w14:paraId="4170EDD1" w14:textId="77777777" w:rsidTr="00E8598E">
        <w:trPr>
          <w:trHeight w:val="264"/>
        </w:trPr>
        <w:tc>
          <w:tcPr>
            <w:tcW w:w="3539" w:type="dxa"/>
            <w:noWrap/>
            <w:vAlign w:val="center"/>
          </w:tcPr>
          <w:p w14:paraId="3D85F308"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Hackney</w:t>
            </w:r>
          </w:p>
        </w:tc>
        <w:tc>
          <w:tcPr>
            <w:tcW w:w="1611" w:type="dxa"/>
            <w:noWrap/>
            <w:vAlign w:val="center"/>
          </w:tcPr>
          <w:p w14:paraId="56C95099"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43.4%</w:t>
            </w:r>
          </w:p>
        </w:tc>
        <w:tc>
          <w:tcPr>
            <w:tcW w:w="1612" w:type="dxa"/>
            <w:noWrap/>
            <w:vAlign w:val="center"/>
          </w:tcPr>
          <w:p w14:paraId="0425DD7F"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23.4%</w:t>
            </w:r>
          </w:p>
        </w:tc>
        <w:tc>
          <w:tcPr>
            <w:tcW w:w="2254" w:type="dxa"/>
            <w:noWrap/>
            <w:vAlign w:val="center"/>
          </w:tcPr>
          <w:p w14:paraId="3BAEF16E"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20.0ppt</w:t>
            </w:r>
          </w:p>
        </w:tc>
      </w:tr>
      <w:tr w:rsidR="006603DA" w:rsidRPr="00403914" w14:paraId="207AE40A" w14:textId="77777777" w:rsidTr="00E8598E">
        <w:trPr>
          <w:trHeight w:val="264"/>
        </w:trPr>
        <w:tc>
          <w:tcPr>
            <w:tcW w:w="3539" w:type="dxa"/>
            <w:noWrap/>
            <w:vAlign w:val="center"/>
          </w:tcPr>
          <w:p w14:paraId="24603123"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Camden</w:t>
            </w:r>
          </w:p>
        </w:tc>
        <w:tc>
          <w:tcPr>
            <w:tcW w:w="1611" w:type="dxa"/>
            <w:noWrap/>
            <w:vAlign w:val="center"/>
          </w:tcPr>
          <w:p w14:paraId="1949C6C3"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39.6%</w:t>
            </w:r>
          </w:p>
        </w:tc>
        <w:tc>
          <w:tcPr>
            <w:tcW w:w="1612" w:type="dxa"/>
            <w:noWrap/>
            <w:vAlign w:val="center"/>
          </w:tcPr>
          <w:p w14:paraId="3E5ADF69"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19.8%</w:t>
            </w:r>
          </w:p>
        </w:tc>
        <w:tc>
          <w:tcPr>
            <w:tcW w:w="2254" w:type="dxa"/>
            <w:noWrap/>
            <w:vAlign w:val="center"/>
          </w:tcPr>
          <w:p w14:paraId="3F399E4E"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19.8ppt</w:t>
            </w:r>
          </w:p>
        </w:tc>
      </w:tr>
      <w:tr w:rsidR="006603DA" w:rsidRPr="00403914" w14:paraId="126D03E6" w14:textId="77777777" w:rsidTr="00E8598E">
        <w:trPr>
          <w:trHeight w:val="264"/>
        </w:trPr>
        <w:tc>
          <w:tcPr>
            <w:tcW w:w="3539" w:type="dxa"/>
            <w:noWrap/>
            <w:vAlign w:val="center"/>
          </w:tcPr>
          <w:p w14:paraId="258B14F9"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Newham</w:t>
            </w:r>
          </w:p>
        </w:tc>
        <w:tc>
          <w:tcPr>
            <w:tcW w:w="1611" w:type="dxa"/>
            <w:noWrap/>
            <w:vAlign w:val="center"/>
          </w:tcPr>
          <w:p w14:paraId="63B056EB"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43.7%</w:t>
            </w:r>
          </w:p>
        </w:tc>
        <w:tc>
          <w:tcPr>
            <w:tcW w:w="1612" w:type="dxa"/>
            <w:noWrap/>
            <w:vAlign w:val="center"/>
          </w:tcPr>
          <w:p w14:paraId="7F0353A1"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24.1%</w:t>
            </w:r>
          </w:p>
        </w:tc>
        <w:tc>
          <w:tcPr>
            <w:tcW w:w="2254" w:type="dxa"/>
            <w:noWrap/>
            <w:vAlign w:val="center"/>
          </w:tcPr>
          <w:p w14:paraId="3DAC34A9"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19.6ppt</w:t>
            </w:r>
          </w:p>
        </w:tc>
      </w:tr>
      <w:tr w:rsidR="006603DA" w:rsidRPr="00403914" w14:paraId="0EF0DE19" w14:textId="77777777" w:rsidTr="00E8598E">
        <w:trPr>
          <w:trHeight w:val="264"/>
        </w:trPr>
        <w:tc>
          <w:tcPr>
            <w:tcW w:w="3539" w:type="dxa"/>
            <w:noWrap/>
            <w:vAlign w:val="center"/>
          </w:tcPr>
          <w:p w14:paraId="7B3B537C"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Islington</w:t>
            </w:r>
          </w:p>
        </w:tc>
        <w:tc>
          <w:tcPr>
            <w:tcW w:w="1611" w:type="dxa"/>
            <w:noWrap/>
            <w:vAlign w:val="center"/>
          </w:tcPr>
          <w:p w14:paraId="2DFEC072"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37.2%</w:t>
            </w:r>
          </w:p>
        </w:tc>
        <w:tc>
          <w:tcPr>
            <w:tcW w:w="1612" w:type="dxa"/>
            <w:noWrap/>
            <w:vAlign w:val="center"/>
          </w:tcPr>
          <w:p w14:paraId="2129ADC2"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18.5%</w:t>
            </w:r>
          </w:p>
        </w:tc>
        <w:tc>
          <w:tcPr>
            <w:tcW w:w="2254" w:type="dxa"/>
            <w:noWrap/>
            <w:vAlign w:val="center"/>
          </w:tcPr>
          <w:p w14:paraId="56FBA4DF"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18.7ppt</w:t>
            </w:r>
          </w:p>
        </w:tc>
      </w:tr>
      <w:tr w:rsidR="006603DA" w:rsidRPr="00403914" w14:paraId="1BB71A47" w14:textId="77777777" w:rsidTr="00E8598E">
        <w:trPr>
          <w:trHeight w:val="264"/>
        </w:trPr>
        <w:tc>
          <w:tcPr>
            <w:tcW w:w="3539" w:type="dxa"/>
            <w:noWrap/>
            <w:vAlign w:val="center"/>
          </w:tcPr>
          <w:p w14:paraId="49852BD0"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Barking and Dagenham</w:t>
            </w:r>
          </w:p>
        </w:tc>
        <w:tc>
          <w:tcPr>
            <w:tcW w:w="1611" w:type="dxa"/>
            <w:noWrap/>
            <w:vAlign w:val="center"/>
          </w:tcPr>
          <w:p w14:paraId="14EEB663"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42.1%</w:t>
            </w:r>
          </w:p>
        </w:tc>
        <w:tc>
          <w:tcPr>
            <w:tcW w:w="1612" w:type="dxa"/>
            <w:noWrap/>
            <w:vAlign w:val="center"/>
          </w:tcPr>
          <w:p w14:paraId="24D7B60E"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23.9%</w:t>
            </w:r>
          </w:p>
        </w:tc>
        <w:tc>
          <w:tcPr>
            <w:tcW w:w="2254" w:type="dxa"/>
            <w:noWrap/>
            <w:vAlign w:val="center"/>
          </w:tcPr>
          <w:p w14:paraId="026FF282"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18.2ppt</w:t>
            </w:r>
          </w:p>
        </w:tc>
      </w:tr>
      <w:tr w:rsidR="006603DA" w:rsidRPr="00403914" w14:paraId="5F41AEEE" w14:textId="77777777" w:rsidTr="00E8598E">
        <w:trPr>
          <w:trHeight w:val="264"/>
        </w:trPr>
        <w:tc>
          <w:tcPr>
            <w:tcW w:w="3539" w:type="dxa"/>
            <w:noWrap/>
            <w:vAlign w:val="center"/>
          </w:tcPr>
          <w:p w14:paraId="5A77E059"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Southwark</w:t>
            </w:r>
          </w:p>
        </w:tc>
        <w:tc>
          <w:tcPr>
            <w:tcW w:w="1611" w:type="dxa"/>
            <w:noWrap/>
            <w:vAlign w:val="center"/>
          </w:tcPr>
          <w:p w14:paraId="43E69CE9"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36.2%</w:t>
            </w:r>
          </w:p>
        </w:tc>
        <w:tc>
          <w:tcPr>
            <w:tcW w:w="1612" w:type="dxa"/>
            <w:noWrap/>
            <w:vAlign w:val="center"/>
          </w:tcPr>
          <w:p w14:paraId="011E63AD"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18.4%</w:t>
            </w:r>
          </w:p>
        </w:tc>
        <w:tc>
          <w:tcPr>
            <w:tcW w:w="2254" w:type="dxa"/>
            <w:noWrap/>
            <w:vAlign w:val="center"/>
          </w:tcPr>
          <w:p w14:paraId="05E28CD6"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17.8ppt</w:t>
            </w:r>
          </w:p>
        </w:tc>
      </w:tr>
      <w:tr w:rsidR="006603DA" w:rsidRPr="00403914" w14:paraId="7B48EC66" w14:textId="77777777" w:rsidTr="00E8598E">
        <w:trPr>
          <w:trHeight w:val="264"/>
        </w:trPr>
        <w:tc>
          <w:tcPr>
            <w:tcW w:w="3539" w:type="dxa"/>
            <w:noWrap/>
            <w:vAlign w:val="center"/>
          </w:tcPr>
          <w:p w14:paraId="75E0C6D8"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Waltham Forest</w:t>
            </w:r>
          </w:p>
        </w:tc>
        <w:tc>
          <w:tcPr>
            <w:tcW w:w="1611" w:type="dxa"/>
            <w:noWrap/>
            <w:vAlign w:val="center"/>
          </w:tcPr>
          <w:p w14:paraId="4B393A03"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38.1%</w:t>
            </w:r>
          </w:p>
        </w:tc>
        <w:tc>
          <w:tcPr>
            <w:tcW w:w="1612" w:type="dxa"/>
            <w:noWrap/>
            <w:vAlign w:val="center"/>
          </w:tcPr>
          <w:p w14:paraId="6D737481"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20.5%</w:t>
            </w:r>
          </w:p>
        </w:tc>
        <w:tc>
          <w:tcPr>
            <w:tcW w:w="2254" w:type="dxa"/>
            <w:noWrap/>
            <w:vAlign w:val="center"/>
          </w:tcPr>
          <w:p w14:paraId="01497CE4"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17.6ppt</w:t>
            </w:r>
          </w:p>
        </w:tc>
      </w:tr>
      <w:tr w:rsidR="006603DA" w:rsidRPr="00403914" w14:paraId="0209B7D3" w14:textId="77777777" w:rsidTr="00E8598E">
        <w:trPr>
          <w:trHeight w:val="264"/>
        </w:trPr>
        <w:tc>
          <w:tcPr>
            <w:tcW w:w="3539" w:type="dxa"/>
            <w:noWrap/>
            <w:vAlign w:val="center"/>
          </w:tcPr>
          <w:p w14:paraId="37A20063"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Lambeth</w:t>
            </w:r>
          </w:p>
        </w:tc>
        <w:tc>
          <w:tcPr>
            <w:tcW w:w="1611" w:type="dxa"/>
            <w:noWrap/>
            <w:vAlign w:val="center"/>
          </w:tcPr>
          <w:p w14:paraId="5CF5BA98"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35.5%</w:t>
            </w:r>
          </w:p>
        </w:tc>
        <w:tc>
          <w:tcPr>
            <w:tcW w:w="1612" w:type="dxa"/>
            <w:noWrap/>
            <w:vAlign w:val="center"/>
          </w:tcPr>
          <w:p w14:paraId="5A0430E2"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18.1%</w:t>
            </w:r>
          </w:p>
        </w:tc>
        <w:tc>
          <w:tcPr>
            <w:tcW w:w="2254" w:type="dxa"/>
            <w:noWrap/>
            <w:vAlign w:val="center"/>
          </w:tcPr>
          <w:p w14:paraId="6DD43BDE"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17.4ppt</w:t>
            </w:r>
          </w:p>
        </w:tc>
      </w:tr>
      <w:tr w:rsidR="006603DA" w:rsidRPr="00403914" w14:paraId="3434644D" w14:textId="77777777" w:rsidTr="00E8598E">
        <w:trPr>
          <w:trHeight w:val="264"/>
        </w:trPr>
        <w:tc>
          <w:tcPr>
            <w:tcW w:w="3539" w:type="dxa"/>
            <w:noWrap/>
            <w:vAlign w:val="center"/>
          </w:tcPr>
          <w:p w14:paraId="49DDDD03"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Westminster</w:t>
            </w:r>
          </w:p>
        </w:tc>
        <w:tc>
          <w:tcPr>
            <w:tcW w:w="1611" w:type="dxa"/>
            <w:noWrap/>
            <w:vAlign w:val="center"/>
          </w:tcPr>
          <w:p w14:paraId="5F74A13E"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31.4%</w:t>
            </w:r>
          </w:p>
        </w:tc>
        <w:tc>
          <w:tcPr>
            <w:tcW w:w="1612" w:type="dxa"/>
            <w:noWrap/>
            <w:vAlign w:val="center"/>
          </w:tcPr>
          <w:p w14:paraId="185AC09C"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14.2%</w:t>
            </w:r>
          </w:p>
        </w:tc>
        <w:tc>
          <w:tcPr>
            <w:tcW w:w="2254" w:type="dxa"/>
            <w:noWrap/>
            <w:vAlign w:val="center"/>
          </w:tcPr>
          <w:p w14:paraId="6C9BE887"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17.2ppt</w:t>
            </w:r>
          </w:p>
        </w:tc>
      </w:tr>
      <w:tr w:rsidR="006603DA" w:rsidRPr="00403914" w14:paraId="367578B5" w14:textId="77777777" w:rsidTr="00E8598E">
        <w:trPr>
          <w:trHeight w:val="264"/>
        </w:trPr>
        <w:tc>
          <w:tcPr>
            <w:tcW w:w="3539" w:type="dxa"/>
            <w:noWrap/>
            <w:vAlign w:val="center"/>
          </w:tcPr>
          <w:p w14:paraId="58F8AF1E"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Haringey</w:t>
            </w:r>
          </w:p>
        </w:tc>
        <w:tc>
          <w:tcPr>
            <w:tcW w:w="1611" w:type="dxa"/>
            <w:noWrap/>
            <w:vAlign w:val="center"/>
          </w:tcPr>
          <w:p w14:paraId="5763073C"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35.1%</w:t>
            </w:r>
          </w:p>
        </w:tc>
        <w:tc>
          <w:tcPr>
            <w:tcW w:w="1612" w:type="dxa"/>
            <w:noWrap/>
            <w:vAlign w:val="center"/>
          </w:tcPr>
          <w:p w14:paraId="0D1973DF"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18.0%</w:t>
            </w:r>
          </w:p>
        </w:tc>
        <w:tc>
          <w:tcPr>
            <w:tcW w:w="2254" w:type="dxa"/>
            <w:noWrap/>
            <w:vAlign w:val="center"/>
          </w:tcPr>
          <w:p w14:paraId="247EFB25"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17.1ppt</w:t>
            </w:r>
          </w:p>
        </w:tc>
      </w:tr>
      <w:tr w:rsidR="006603DA" w:rsidRPr="00403914" w14:paraId="1F0AEE18" w14:textId="77777777" w:rsidTr="00E8598E">
        <w:trPr>
          <w:trHeight w:val="264"/>
        </w:trPr>
        <w:tc>
          <w:tcPr>
            <w:tcW w:w="3539" w:type="dxa"/>
            <w:noWrap/>
            <w:vAlign w:val="center"/>
          </w:tcPr>
          <w:p w14:paraId="53A48F6B"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Brent</w:t>
            </w:r>
          </w:p>
        </w:tc>
        <w:tc>
          <w:tcPr>
            <w:tcW w:w="1611" w:type="dxa"/>
            <w:noWrap/>
            <w:vAlign w:val="center"/>
          </w:tcPr>
          <w:p w14:paraId="6B1EE9A4"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35.6%</w:t>
            </w:r>
          </w:p>
        </w:tc>
        <w:tc>
          <w:tcPr>
            <w:tcW w:w="1612" w:type="dxa"/>
            <w:noWrap/>
            <w:vAlign w:val="center"/>
          </w:tcPr>
          <w:p w14:paraId="1BF61664"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18.5%</w:t>
            </w:r>
          </w:p>
        </w:tc>
        <w:tc>
          <w:tcPr>
            <w:tcW w:w="2254" w:type="dxa"/>
            <w:noWrap/>
            <w:vAlign w:val="center"/>
          </w:tcPr>
          <w:p w14:paraId="4AC5BDB0"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17.1ppt</w:t>
            </w:r>
          </w:p>
        </w:tc>
      </w:tr>
      <w:tr w:rsidR="006603DA" w:rsidRPr="00403914" w14:paraId="79454E51" w14:textId="77777777" w:rsidTr="00E8598E">
        <w:trPr>
          <w:trHeight w:val="264"/>
        </w:trPr>
        <w:tc>
          <w:tcPr>
            <w:tcW w:w="3539" w:type="dxa"/>
            <w:noWrap/>
            <w:vAlign w:val="center"/>
          </w:tcPr>
          <w:p w14:paraId="015CCA71"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Greenwich</w:t>
            </w:r>
          </w:p>
        </w:tc>
        <w:tc>
          <w:tcPr>
            <w:tcW w:w="1611" w:type="dxa"/>
            <w:noWrap/>
            <w:vAlign w:val="center"/>
          </w:tcPr>
          <w:p w14:paraId="5FCEFB9C"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35.9%</w:t>
            </w:r>
          </w:p>
        </w:tc>
        <w:tc>
          <w:tcPr>
            <w:tcW w:w="1612" w:type="dxa"/>
            <w:noWrap/>
            <w:vAlign w:val="center"/>
          </w:tcPr>
          <w:p w14:paraId="2297701C"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18.9%</w:t>
            </w:r>
          </w:p>
        </w:tc>
        <w:tc>
          <w:tcPr>
            <w:tcW w:w="2254" w:type="dxa"/>
            <w:noWrap/>
            <w:vAlign w:val="center"/>
          </w:tcPr>
          <w:p w14:paraId="26B49859"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17.0ppt</w:t>
            </w:r>
          </w:p>
        </w:tc>
      </w:tr>
      <w:tr w:rsidR="006603DA" w:rsidRPr="00403914" w14:paraId="74C8451C" w14:textId="77777777" w:rsidTr="00E8598E">
        <w:trPr>
          <w:trHeight w:val="264"/>
        </w:trPr>
        <w:tc>
          <w:tcPr>
            <w:tcW w:w="3539" w:type="dxa"/>
            <w:noWrap/>
            <w:vAlign w:val="center"/>
          </w:tcPr>
          <w:p w14:paraId="72DA7E45"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Lewisham</w:t>
            </w:r>
          </w:p>
        </w:tc>
        <w:tc>
          <w:tcPr>
            <w:tcW w:w="1611" w:type="dxa"/>
            <w:noWrap/>
            <w:vAlign w:val="center"/>
          </w:tcPr>
          <w:p w14:paraId="432B1F38"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32.8%</w:t>
            </w:r>
          </w:p>
        </w:tc>
        <w:tc>
          <w:tcPr>
            <w:tcW w:w="1612" w:type="dxa"/>
            <w:noWrap/>
            <w:vAlign w:val="center"/>
          </w:tcPr>
          <w:p w14:paraId="68596E73"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16.8%</w:t>
            </w:r>
          </w:p>
        </w:tc>
        <w:tc>
          <w:tcPr>
            <w:tcW w:w="2254" w:type="dxa"/>
            <w:noWrap/>
            <w:vAlign w:val="center"/>
          </w:tcPr>
          <w:p w14:paraId="49EF1A14"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16.0ppt</w:t>
            </w:r>
          </w:p>
        </w:tc>
      </w:tr>
      <w:tr w:rsidR="006603DA" w:rsidRPr="00403914" w14:paraId="5FEF145A" w14:textId="77777777" w:rsidTr="00E8598E">
        <w:trPr>
          <w:trHeight w:val="264"/>
        </w:trPr>
        <w:tc>
          <w:tcPr>
            <w:tcW w:w="3539" w:type="dxa"/>
            <w:noWrap/>
            <w:vAlign w:val="center"/>
          </w:tcPr>
          <w:p w14:paraId="421026D4"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Ealing</w:t>
            </w:r>
          </w:p>
        </w:tc>
        <w:tc>
          <w:tcPr>
            <w:tcW w:w="1611" w:type="dxa"/>
            <w:noWrap/>
            <w:vAlign w:val="center"/>
          </w:tcPr>
          <w:p w14:paraId="00AE5CF9"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31.5%</w:t>
            </w:r>
          </w:p>
        </w:tc>
        <w:tc>
          <w:tcPr>
            <w:tcW w:w="1612" w:type="dxa"/>
            <w:noWrap/>
            <w:vAlign w:val="center"/>
          </w:tcPr>
          <w:p w14:paraId="3C317AA6"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15.7%</w:t>
            </w:r>
          </w:p>
        </w:tc>
        <w:tc>
          <w:tcPr>
            <w:tcW w:w="2254" w:type="dxa"/>
            <w:noWrap/>
            <w:vAlign w:val="center"/>
          </w:tcPr>
          <w:p w14:paraId="513B0301"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15.8ppt</w:t>
            </w:r>
          </w:p>
        </w:tc>
      </w:tr>
      <w:tr w:rsidR="006603DA" w:rsidRPr="00403914" w14:paraId="6B2F1B97" w14:textId="77777777" w:rsidTr="00E8598E">
        <w:trPr>
          <w:trHeight w:val="264"/>
        </w:trPr>
        <w:tc>
          <w:tcPr>
            <w:tcW w:w="3539" w:type="dxa"/>
            <w:noWrap/>
            <w:vAlign w:val="center"/>
          </w:tcPr>
          <w:p w14:paraId="71ECBC79"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Redbridge</w:t>
            </w:r>
          </w:p>
        </w:tc>
        <w:tc>
          <w:tcPr>
            <w:tcW w:w="1611" w:type="dxa"/>
            <w:noWrap/>
            <w:vAlign w:val="center"/>
          </w:tcPr>
          <w:p w14:paraId="220770DC"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32.4%</w:t>
            </w:r>
          </w:p>
        </w:tc>
        <w:tc>
          <w:tcPr>
            <w:tcW w:w="1612" w:type="dxa"/>
            <w:noWrap/>
            <w:vAlign w:val="center"/>
          </w:tcPr>
          <w:p w14:paraId="128167FD"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16.7%</w:t>
            </w:r>
          </w:p>
        </w:tc>
        <w:tc>
          <w:tcPr>
            <w:tcW w:w="2254" w:type="dxa"/>
            <w:noWrap/>
            <w:vAlign w:val="center"/>
          </w:tcPr>
          <w:p w14:paraId="097F1401"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15.7ppt</w:t>
            </w:r>
          </w:p>
        </w:tc>
      </w:tr>
      <w:tr w:rsidR="006603DA" w:rsidRPr="00403914" w14:paraId="150AA1DB" w14:textId="77777777" w:rsidTr="00E8598E">
        <w:trPr>
          <w:trHeight w:val="264"/>
        </w:trPr>
        <w:tc>
          <w:tcPr>
            <w:tcW w:w="3539" w:type="dxa"/>
            <w:noWrap/>
            <w:vAlign w:val="center"/>
          </w:tcPr>
          <w:p w14:paraId="094256A9"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Hounslow</w:t>
            </w:r>
          </w:p>
        </w:tc>
        <w:tc>
          <w:tcPr>
            <w:tcW w:w="1611" w:type="dxa"/>
            <w:noWrap/>
            <w:vAlign w:val="center"/>
          </w:tcPr>
          <w:p w14:paraId="51034CF6"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31.9%</w:t>
            </w:r>
          </w:p>
        </w:tc>
        <w:tc>
          <w:tcPr>
            <w:tcW w:w="1612" w:type="dxa"/>
            <w:noWrap/>
            <w:vAlign w:val="center"/>
          </w:tcPr>
          <w:p w14:paraId="06AC62B8"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16.2%</w:t>
            </w:r>
          </w:p>
        </w:tc>
        <w:tc>
          <w:tcPr>
            <w:tcW w:w="2254" w:type="dxa"/>
            <w:noWrap/>
            <w:vAlign w:val="center"/>
          </w:tcPr>
          <w:p w14:paraId="1E53EF28"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15.7ppt</w:t>
            </w:r>
          </w:p>
        </w:tc>
      </w:tr>
      <w:tr w:rsidR="006603DA" w:rsidRPr="00403914" w14:paraId="5CED2ED6" w14:textId="77777777" w:rsidTr="00E8598E">
        <w:trPr>
          <w:trHeight w:val="264"/>
        </w:trPr>
        <w:tc>
          <w:tcPr>
            <w:tcW w:w="3539" w:type="dxa"/>
            <w:noWrap/>
            <w:vAlign w:val="center"/>
          </w:tcPr>
          <w:p w14:paraId="53F01D9B"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Enfield</w:t>
            </w:r>
          </w:p>
        </w:tc>
        <w:tc>
          <w:tcPr>
            <w:tcW w:w="1611" w:type="dxa"/>
            <w:noWrap/>
            <w:vAlign w:val="center"/>
          </w:tcPr>
          <w:p w14:paraId="3DACB55A"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30.9%</w:t>
            </w:r>
          </w:p>
        </w:tc>
        <w:tc>
          <w:tcPr>
            <w:tcW w:w="1612" w:type="dxa"/>
            <w:noWrap/>
            <w:vAlign w:val="center"/>
          </w:tcPr>
          <w:p w14:paraId="25B602B5"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15.6%</w:t>
            </w:r>
          </w:p>
        </w:tc>
        <w:tc>
          <w:tcPr>
            <w:tcW w:w="2254" w:type="dxa"/>
            <w:noWrap/>
            <w:vAlign w:val="center"/>
          </w:tcPr>
          <w:p w14:paraId="52929865"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15.3ppt</w:t>
            </w:r>
          </w:p>
        </w:tc>
      </w:tr>
      <w:tr w:rsidR="006603DA" w:rsidRPr="00403914" w14:paraId="559D9A05" w14:textId="77777777" w:rsidTr="00E8598E">
        <w:trPr>
          <w:trHeight w:val="264"/>
        </w:trPr>
        <w:tc>
          <w:tcPr>
            <w:tcW w:w="3539" w:type="dxa"/>
            <w:noWrap/>
            <w:vAlign w:val="center"/>
          </w:tcPr>
          <w:p w14:paraId="122AA0E9"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Harrow</w:t>
            </w:r>
          </w:p>
        </w:tc>
        <w:tc>
          <w:tcPr>
            <w:tcW w:w="1611" w:type="dxa"/>
            <w:noWrap/>
            <w:vAlign w:val="center"/>
          </w:tcPr>
          <w:p w14:paraId="086BC3F8"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30.6%</w:t>
            </w:r>
          </w:p>
        </w:tc>
        <w:tc>
          <w:tcPr>
            <w:tcW w:w="1612" w:type="dxa"/>
            <w:noWrap/>
            <w:vAlign w:val="center"/>
          </w:tcPr>
          <w:p w14:paraId="2949B2D9"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15.4%</w:t>
            </w:r>
          </w:p>
        </w:tc>
        <w:tc>
          <w:tcPr>
            <w:tcW w:w="2254" w:type="dxa"/>
            <w:noWrap/>
            <w:vAlign w:val="center"/>
          </w:tcPr>
          <w:p w14:paraId="0B5EF9B0"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15.2ppt</w:t>
            </w:r>
          </w:p>
        </w:tc>
      </w:tr>
      <w:tr w:rsidR="006603DA" w:rsidRPr="00403914" w14:paraId="684F6206" w14:textId="77777777" w:rsidTr="00E8598E">
        <w:trPr>
          <w:trHeight w:val="264"/>
        </w:trPr>
        <w:tc>
          <w:tcPr>
            <w:tcW w:w="3539" w:type="dxa"/>
            <w:noWrap/>
            <w:vAlign w:val="center"/>
          </w:tcPr>
          <w:p w14:paraId="1A2A9DCA" w14:textId="77777777" w:rsidR="006603DA" w:rsidRPr="00403914" w:rsidRDefault="006603DA" w:rsidP="00E8598E">
            <w:pPr>
              <w:rPr>
                <w:rFonts w:asciiTheme="majorHAnsi" w:eastAsia="Times New Roman" w:hAnsiTheme="majorHAnsi" w:cstheme="majorHAnsi"/>
                <w:lang w:eastAsia="en-GB"/>
              </w:rPr>
            </w:pPr>
            <w:r w:rsidRPr="00403914">
              <w:rPr>
                <w:rFonts w:asciiTheme="majorHAnsi" w:hAnsiTheme="majorHAnsi" w:cstheme="majorHAnsi"/>
                <w:color w:val="000000"/>
              </w:rPr>
              <w:t>Hillingdon</w:t>
            </w:r>
          </w:p>
        </w:tc>
        <w:tc>
          <w:tcPr>
            <w:tcW w:w="1611" w:type="dxa"/>
            <w:noWrap/>
            <w:vAlign w:val="center"/>
          </w:tcPr>
          <w:p w14:paraId="6FF41E67"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31.0%</w:t>
            </w:r>
          </w:p>
        </w:tc>
        <w:tc>
          <w:tcPr>
            <w:tcW w:w="1612" w:type="dxa"/>
            <w:noWrap/>
            <w:vAlign w:val="center"/>
          </w:tcPr>
          <w:p w14:paraId="033F5553"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15.9%</w:t>
            </w:r>
          </w:p>
        </w:tc>
        <w:tc>
          <w:tcPr>
            <w:tcW w:w="2254" w:type="dxa"/>
            <w:noWrap/>
            <w:vAlign w:val="center"/>
          </w:tcPr>
          <w:p w14:paraId="2FB90707" w14:textId="77777777" w:rsidR="006603DA" w:rsidRPr="00403914" w:rsidRDefault="006603DA" w:rsidP="00E8598E">
            <w:pPr>
              <w:jc w:val="center"/>
              <w:rPr>
                <w:rFonts w:asciiTheme="majorHAnsi" w:eastAsia="Times New Roman" w:hAnsiTheme="majorHAnsi" w:cstheme="majorHAnsi"/>
                <w:lang w:eastAsia="en-GB"/>
              </w:rPr>
            </w:pPr>
            <w:r w:rsidRPr="00403914">
              <w:rPr>
                <w:rFonts w:asciiTheme="majorHAnsi" w:hAnsiTheme="majorHAnsi" w:cstheme="majorHAnsi"/>
                <w:color w:val="000000"/>
              </w:rPr>
              <w:t>15.1ppt</w:t>
            </w:r>
          </w:p>
        </w:tc>
      </w:tr>
    </w:tbl>
    <w:p w14:paraId="68F8B1E0" w14:textId="77777777" w:rsidR="006603DA" w:rsidRPr="00403914" w:rsidRDefault="006603DA" w:rsidP="00D17EAE">
      <w:pPr>
        <w:rPr>
          <w:rFonts w:asciiTheme="majorHAnsi" w:hAnsiTheme="majorHAnsi" w:cstheme="majorHAnsi"/>
          <w:sz w:val="22"/>
          <w:szCs w:val="22"/>
        </w:rPr>
      </w:pPr>
    </w:p>
    <w:p w14:paraId="456A520C" w14:textId="194EC227" w:rsidR="00FF4541" w:rsidRPr="00403914" w:rsidRDefault="00FF4541" w:rsidP="00D17EAE">
      <w:pPr>
        <w:rPr>
          <w:rFonts w:asciiTheme="majorHAnsi" w:hAnsiTheme="majorHAnsi" w:cstheme="majorHAnsi"/>
          <w:sz w:val="22"/>
          <w:szCs w:val="22"/>
        </w:rPr>
      </w:pPr>
    </w:p>
    <w:p w14:paraId="3E51C8C5" w14:textId="77777777" w:rsidR="00EB57AD" w:rsidRPr="00403914" w:rsidRDefault="00EB57AD" w:rsidP="00EB57AD">
      <w:pPr>
        <w:rPr>
          <w:rFonts w:asciiTheme="majorHAnsi" w:hAnsiTheme="majorHAnsi" w:cstheme="majorHAnsi"/>
          <w:sz w:val="22"/>
          <w:szCs w:val="22"/>
        </w:rPr>
      </w:pPr>
      <w:r w:rsidRPr="00403914">
        <w:rPr>
          <w:rFonts w:asciiTheme="majorHAnsi" w:hAnsiTheme="majorHAnsi" w:cstheme="majorHAnsi"/>
          <w:sz w:val="22"/>
          <w:szCs w:val="22"/>
        </w:rPr>
        <w:t xml:space="preserve">Chief Executive of Child Poverty Action Group (CPAG) Alison Garnham said: </w:t>
      </w:r>
    </w:p>
    <w:p w14:paraId="62900FCC" w14:textId="77777777" w:rsidR="00EB57AD" w:rsidRPr="00403914" w:rsidRDefault="00EB57AD" w:rsidP="00EB57AD">
      <w:pPr>
        <w:rPr>
          <w:rFonts w:asciiTheme="majorHAnsi" w:hAnsiTheme="majorHAnsi" w:cstheme="majorHAnsi"/>
          <w:sz w:val="22"/>
          <w:szCs w:val="22"/>
        </w:rPr>
      </w:pPr>
    </w:p>
    <w:p w14:paraId="5E658775" w14:textId="72D74B34" w:rsidR="004B08F7" w:rsidRPr="00403914" w:rsidRDefault="00EB57AD" w:rsidP="00EB57AD">
      <w:pPr>
        <w:ind w:left="720"/>
        <w:rPr>
          <w:rFonts w:asciiTheme="majorHAnsi" w:hAnsiTheme="majorHAnsi" w:cstheme="majorHAnsi"/>
          <w:sz w:val="22"/>
          <w:szCs w:val="22"/>
        </w:rPr>
      </w:pPr>
      <w:r w:rsidRPr="00403914">
        <w:rPr>
          <w:rFonts w:asciiTheme="majorHAnsi" w:hAnsiTheme="majorHAnsi" w:cstheme="majorHAnsi"/>
          <w:i/>
          <w:iCs/>
          <w:sz w:val="22"/>
          <w:szCs w:val="22"/>
        </w:rPr>
        <w:t xml:space="preserve">Child poverty is the ugly side of London.  A third of the city’s children don’t have what they need to thrive </w:t>
      </w:r>
      <w:r w:rsidR="00D34046" w:rsidRPr="00403914">
        <w:rPr>
          <w:rFonts w:asciiTheme="majorHAnsi" w:hAnsiTheme="majorHAnsi" w:cstheme="majorHAnsi"/>
          <w:i/>
          <w:iCs/>
          <w:sz w:val="22"/>
          <w:szCs w:val="22"/>
        </w:rPr>
        <w:t xml:space="preserve"> - </w:t>
      </w:r>
      <w:r w:rsidRPr="00403914">
        <w:rPr>
          <w:rFonts w:asciiTheme="majorHAnsi" w:hAnsiTheme="majorHAnsi" w:cstheme="majorHAnsi"/>
          <w:i/>
          <w:iCs/>
          <w:sz w:val="22"/>
          <w:szCs w:val="22"/>
        </w:rPr>
        <w:t>and that number will rise if Government continues to turn a blind eye</w:t>
      </w:r>
      <w:r w:rsidR="00D34046" w:rsidRPr="00403914">
        <w:rPr>
          <w:rFonts w:asciiTheme="majorHAnsi" w:hAnsiTheme="majorHAnsi" w:cstheme="majorHAnsi"/>
          <w:i/>
          <w:iCs/>
          <w:sz w:val="22"/>
          <w:szCs w:val="22"/>
        </w:rPr>
        <w:t xml:space="preserve"> to the fact that families don’t have enough to live on</w:t>
      </w:r>
      <w:r w:rsidRPr="00403914">
        <w:rPr>
          <w:rFonts w:asciiTheme="majorHAnsi" w:hAnsiTheme="majorHAnsi" w:cstheme="majorHAnsi"/>
          <w:i/>
          <w:iCs/>
          <w:sz w:val="22"/>
          <w:szCs w:val="22"/>
        </w:rPr>
        <w:t>.   Abolishing the two-child limit and benefit cap, increasing child benefit and extending free school meals are the critical actions needed.  Without them, more children in London will be hungry and cut off from the joys of childhood</w:t>
      </w:r>
      <w:r w:rsidRPr="00403914">
        <w:rPr>
          <w:rFonts w:asciiTheme="majorHAnsi" w:hAnsiTheme="majorHAnsi" w:cstheme="majorHAnsi"/>
          <w:sz w:val="22"/>
          <w:szCs w:val="22"/>
        </w:rPr>
        <w:t xml:space="preserve">. </w:t>
      </w:r>
      <w:r w:rsidRPr="00403914">
        <w:rPr>
          <w:rFonts w:asciiTheme="majorHAnsi" w:hAnsiTheme="majorHAnsi" w:cstheme="majorHAnsi"/>
          <w:i/>
          <w:iCs/>
          <w:sz w:val="22"/>
          <w:szCs w:val="22"/>
        </w:rPr>
        <w:t xml:space="preserve">Protecting children is surely a first duty of Government – Ministers must act. </w:t>
      </w:r>
      <w:r w:rsidRPr="00403914">
        <w:rPr>
          <w:rFonts w:asciiTheme="majorHAnsi" w:hAnsiTheme="majorHAnsi" w:cstheme="majorHAnsi"/>
          <w:sz w:val="22"/>
          <w:szCs w:val="22"/>
        </w:rPr>
        <w:t xml:space="preserve"> </w:t>
      </w:r>
    </w:p>
    <w:p w14:paraId="5B4CF237" w14:textId="77777777" w:rsidR="0015649B" w:rsidRPr="00403914" w:rsidRDefault="0015649B" w:rsidP="00EB57AD">
      <w:pPr>
        <w:ind w:left="720"/>
        <w:rPr>
          <w:rFonts w:asciiTheme="majorHAnsi" w:hAnsiTheme="majorHAnsi" w:cstheme="majorHAnsi"/>
          <w:sz w:val="22"/>
          <w:szCs w:val="22"/>
        </w:rPr>
      </w:pPr>
    </w:p>
    <w:p w14:paraId="41BFD75E" w14:textId="77777777" w:rsidR="0015649B" w:rsidRPr="00403914" w:rsidRDefault="0015649B" w:rsidP="0015649B">
      <w:pPr>
        <w:rPr>
          <w:rFonts w:asciiTheme="majorHAnsi" w:hAnsiTheme="majorHAnsi" w:cstheme="majorHAnsi"/>
          <w:sz w:val="22"/>
          <w:szCs w:val="22"/>
        </w:rPr>
      </w:pPr>
    </w:p>
    <w:p w14:paraId="2EDCC45C" w14:textId="77777777" w:rsidR="0015649B" w:rsidRPr="00403914" w:rsidRDefault="0015649B" w:rsidP="0015649B">
      <w:pPr>
        <w:rPr>
          <w:rFonts w:asciiTheme="majorHAnsi" w:hAnsiTheme="majorHAnsi" w:cstheme="majorHAnsi"/>
          <w:color w:val="000000" w:themeColor="text1"/>
          <w:sz w:val="22"/>
          <w:szCs w:val="22"/>
        </w:rPr>
      </w:pPr>
      <w:r w:rsidRPr="00403914">
        <w:rPr>
          <w:rFonts w:asciiTheme="majorHAnsi" w:hAnsiTheme="majorHAnsi" w:cstheme="majorHAnsi"/>
          <w:color w:val="000000" w:themeColor="text1"/>
          <w:sz w:val="22"/>
          <w:szCs w:val="22"/>
        </w:rPr>
        <w:t xml:space="preserve">Joseph Howes, Chair of the End Child Poverty Coalition, said: </w:t>
      </w:r>
    </w:p>
    <w:p w14:paraId="68EC5A72" w14:textId="77777777" w:rsidR="0015649B" w:rsidRPr="00403914" w:rsidRDefault="0015649B" w:rsidP="0015649B">
      <w:pPr>
        <w:rPr>
          <w:rFonts w:asciiTheme="majorHAnsi" w:hAnsiTheme="majorHAnsi" w:cstheme="majorHAnsi"/>
          <w:b/>
          <w:bCs/>
          <w:color w:val="000000" w:themeColor="text1"/>
          <w:sz w:val="22"/>
          <w:szCs w:val="22"/>
        </w:rPr>
      </w:pPr>
    </w:p>
    <w:p w14:paraId="77B60AFC" w14:textId="24131089" w:rsidR="0015649B" w:rsidRPr="00403914" w:rsidRDefault="0015649B" w:rsidP="0015649B">
      <w:pPr>
        <w:ind w:left="720"/>
        <w:rPr>
          <w:rFonts w:asciiTheme="majorHAnsi" w:hAnsiTheme="majorHAnsi" w:cstheme="majorHAnsi"/>
          <w:i/>
          <w:iCs/>
          <w:color w:val="000000" w:themeColor="text1"/>
          <w:sz w:val="22"/>
          <w:szCs w:val="22"/>
        </w:rPr>
      </w:pPr>
      <w:r w:rsidRPr="00403914">
        <w:rPr>
          <w:rFonts w:asciiTheme="majorHAnsi" w:hAnsiTheme="majorHAnsi" w:cstheme="majorHAnsi"/>
          <w:i/>
          <w:iCs/>
          <w:color w:val="000000" w:themeColor="text1"/>
          <w:sz w:val="22"/>
          <w:szCs w:val="22"/>
        </w:rPr>
        <w:t xml:space="preserve">“The pandemic and </w:t>
      </w:r>
      <w:r w:rsidR="00930DAE" w:rsidRPr="00403914">
        <w:rPr>
          <w:rFonts w:asciiTheme="majorHAnsi" w:hAnsiTheme="majorHAnsi" w:cstheme="majorHAnsi"/>
          <w:i/>
          <w:iCs/>
          <w:color w:val="000000" w:themeColor="text1"/>
          <w:sz w:val="22"/>
          <w:szCs w:val="22"/>
        </w:rPr>
        <w:t xml:space="preserve">now the </w:t>
      </w:r>
      <w:r w:rsidRPr="00403914">
        <w:rPr>
          <w:rFonts w:asciiTheme="majorHAnsi" w:hAnsiTheme="majorHAnsi" w:cstheme="majorHAnsi"/>
          <w:i/>
          <w:iCs/>
          <w:color w:val="000000" w:themeColor="text1"/>
          <w:sz w:val="22"/>
          <w:szCs w:val="22"/>
        </w:rPr>
        <w:t>cost</w:t>
      </w:r>
      <w:r w:rsidR="00403914">
        <w:rPr>
          <w:rFonts w:asciiTheme="majorHAnsi" w:hAnsiTheme="majorHAnsi" w:cstheme="majorHAnsi"/>
          <w:i/>
          <w:iCs/>
          <w:color w:val="000000" w:themeColor="text1"/>
          <w:sz w:val="22"/>
          <w:szCs w:val="22"/>
        </w:rPr>
        <w:t>-</w:t>
      </w:r>
      <w:r w:rsidRPr="00403914">
        <w:rPr>
          <w:rFonts w:asciiTheme="majorHAnsi" w:hAnsiTheme="majorHAnsi" w:cstheme="majorHAnsi"/>
          <w:i/>
          <w:iCs/>
          <w:color w:val="000000" w:themeColor="text1"/>
          <w:sz w:val="22"/>
          <w:szCs w:val="22"/>
        </w:rPr>
        <w:t xml:space="preserve"> of</w:t>
      </w:r>
      <w:r w:rsidR="00403914">
        <w:rPr>
          <w:rFonts w:asciiTheme="majorHAnsi" w:hAnsiTheme="majorHAnsi" w:cstheme="majorHAnsi"/>
          <w:i/>
          <w:iCs/>
          <w:color w:val="000000" w:themeColor="text1"/>
          <w:sz w:val="22"/>
          <w:szCs w:val="22"/>
        </w:rPr>
        <w:t>-</w:t>
      </w:r>
      <w:r w:rsidRPr="00403914">
        <w:rPr>
          <w:rFonts w:asciiTheme="majorHAnsi" w:hAnsiTheme="majorHAnsi" w:cstheme="majorHAnsi"/>
          <w:i/>
          <w:iCs/>
          <w:color w:val="000000" w:themeColor="text1"/>
          <w:sz w:val="22"/>
          <w:szCs w:val="22"/>
        </w:rPr>
        <w:t xml:space="preserve"> living crisis have meant more and more children are having to go without food and a warm home</w:t>
      </w:r>
      <w:r w:rsidR="00403914" w:rsidRPr="00403914">
        <w:rPr>
          <w:rFonts w:asciiTheme="majorHAnsi" w:hAnsiTheme="majorHAnsi" w:cstheme="majorHAnsi"/>
          <w:i/>
          <w:iCs/>
          <w:color w:val="000000" w:themeColor="text1"/>
          <w:sz w:val="22"/>
          <w:szCs w:val="22"/>
        </w:rPr>
        <w:t xml:space="preserve">. </w:t>
      </w:r>
      <w:r w:rsidR="00403914" w:rsidRPr="00403914" w:rsidDel="00403914">
        <w:rPr>
          <w:rFonts w:asciiTheme="majorHAnsi" w:hAnsiTheme="majorHAnsi" w:cstheme="majorHAnsi"/>
          <w:i/>
          <w:iCs/>
          <w:color w:val="000000" w:themeColor="text1"/>
          <w:sz w:val="22"/>
          <w:szCs w:val="22"/>
        </w:rPr>
        <w:t xml:space="preserve"> </w:t>
      </w:r>
    </w:p>
    <w:p w14:paraId="1DD05D96" w14:textId="77777777" w:rsidR="0015649B" w:rsidRPr="00403914" w:rsidRDefault="0015649B" w:rsidP="00403914">
      <w:pPr>
        <w:ind w:left="720"/>
        <w:rPr>
          <w:rFonts w:asciiTheme="majorHAnsi" w:hAnsiTheme="majorHAnsi" w:cstheme="majorHAnsi"/>
          <w:i/>
          <w:iCs/>
          <w:color w:val="000000" w:themeColor="text1"/>
          <w:sz w:val="22"/>
          <w:szCs w:val="22"/>
        </w:rPr>
      </w:pPr>
      <w:r w:rsidRPr="00403914">
        <w:rPr>
          <w:rFonts w:asciiTheme="majorHAnsi" w:hAnsiTheme="majorHAnsi" w:cstheme="majorHAnsi"/>
          <w:i/>
          <w:iCs/>
          <w:color w:val="000000" w:themeColor="text1"/>
          <w:sz w:val="22"/>
          <w:szCs w:val="22"/>
        </w:rPr>
        <w:t> </w:t>
      </w:r>
    </w:p>
    <w:p w14:paraId="5DA2F6AB" w14:textId="77777777" w:rsidR="0015649B" w:rsidRPr="00403914" w:rsidRDefault="0015649B" w:rsidP="0015649B">
      <w:pPr>
        <w:ind w:left="720"/>
        <w:rPr>
          <w:rFonts w:asciiTheme="majorHAnsi" w:hAnsiTheme="majorHAnsi" w:cstheme="majorHAnsi"/>
          <w:i/>
          <w:iCs/>
          <w:color w:val="000000" w:themeColor="text1"/>
          <w:sz w:val="22"/>
          <w:szCs w:val="22"/>
        </w:rPr>
      </w:pPr>
      <w:r w:rsidRPr="00403914">
        <w:rPr>
          <w:rFonts w:asciiTheme="majorHAnsi" w:hAnsiTheme="majorHAnsi" w:cstheme="majorHAnsi"/>
          <w:i/>
          <w:iCs/>
          <w:color w:val="000000" w:themeColor="text1"/>
          <w:sz w:val="22"/>
          <w:szCs w:val="22"/>
        </w:rPr>
        <w:t>“There is one policy change that we know would make a direct and immediate difference, and that is to scrap the two-child limit for those claiming Universal Credit. The policy is unfair in the indiscriminate impact it has on children, and there is no evidence it has achieved its aims. Abolishing the two-child limit would immediately lift 250,000 children out of poverty, and the government could make this change now. </w:t>
      </w:r>
    </w:p>
    <w:p w14:paraId="4FDDDA48" w14:textId="77777777" w:rsidR="0015649B" w:rsidRPr="00403914" w:rsidRDefault="0015649B" w:rsidP="0015649B">
      <w:pPr>
        <w:rPr>
          <w:rFonts w:asciiTheme="majorHAnsi" w:hAnsiTheme="majorHAnsi" w:cstheme="majorHAnsi"/>
          <w:i/>
          <w:iCs/>
          <w:color w:val="000000" w:themeColor="text1"/>
          <w:sz w:val="22"/>
          <w:szCs w:val="22"/>
        </w:rPr>
      </w:pPr>
      <w:r w:rsidRPr="00403914">
        <w:rPr>
          <w:rFonts w:asciiTheme="majorHAnsi" w:hAnsiTheme="majorHAnsi" w:cstheme="majorHAnsi"/>
          <w:i/>
          <w:iCs/>
          <w:color w:val="000000" w:themeColor="text1"/>
          <w:sz w:val="22"/>
          <w:szCs w:val="22"/>
        </w:rPr>
        <w:t> </w:t>
      </w:r>
    </w:p>
    <w:p w14:paraId="0D0BE609" w14:textId="77777777" w:rsidR="0015649B" w:rsidRPr="00403914" w:rsidRDefault="0015649B" w:rsidP="0015649B">
      <w:pPr>
        <w:ind w:left="720"/>
        <w:rPr>
          <w:rFonts w:asciiTheme="majorHAnsi" w:hAnsiTheme="majorHAnsi" w:cstheme="majorHAnsi"/>
          <w:i/>
          <w:iCs/>
          <w:color w:val="000000" w:themeColor="text1"/>
          <w:sz w:val="22"/>
          <w:szCs w:val="22"/>
        </w:rPr>
      </w:pPr>
      <w:r w:rsidRPr="00403914">
        <w:rPr>
          <w:rFonts w:asciiTheme="majorHAnsi" w:hAnsiTheme="majorHAnsi" w:cstheme="majorHAnsi"/>
          <w:i/>
          <w:iCs/>
          <w:color w:val="000000" w:themeColor="text1"/>
          <w:sz w:val="22"/>
          <w:szCs w:val="22"/>
        </w:rPr>
        <w:t>“We were encouraged to hear in January that the Labour Party is reviewing the policy, yet they must commit to scrapping it altogether ahead of the next election if they are to successfully deliver on their commitment to lead an assault on child poverty”.</w:t>
      </w:r>
    </w:p>
    <w:p w14:paraId="1FACC2F4" w14:textId="77777777" w:rsidR="0015649B" w:rsidRPr="00403914" w:rsidRDefault="0015649B" w:rsidP="00EB57AD">
      <w:pPr>
        <w:ind w:left="720"/>
        <w:rPr>
          <w:rFonts w:asciiTheme="majorHAnsi" w:hAnsiTheme="majorHAnsi" w:cstheme="majorHAnsi"/>
          <w:i/>
          <w:iCs/>
          <w:sz w:val="22"/>
          <w:szCs w:val="22"/>
        </w:rPr>
      </w:pPr>
    </w:p>
    <w:p w14:paraId="0FE3DFF9" w14:textId="77777777" w:rsidR="0015649B" w:rsidRPr="00403914" w:rsidRDefault="0015649B" w:rsidP="00EB57AD">
      <w:pPr>
        <w:ind w:left="720"/>
        <w:rPr>
          <w:rFonts w:asciiTheme="majorHAnsi" w:hAnsiTheme="majorHAnsi" w:cstheme="majorHAnsi"/>
          <w:sz w:val="22"/>
          <w:szCs w:val="22"/>
        </w:rPr>
      </w:pPr>
    </w:p>
    <w:p w14:paraId="0222C3EA" w14:textId="77777777" w:rsidR="00A01042" w:rsidRPr="00403914" w:rsidRDefault="00A01042" w:rsidP="00A01042">
      <w:pPr>
        <w:rPr>
          <w:rFonts w:asciiTheme="majorHAnsi" w:hAnsiTheme="majorHAnsi" w:cstheme="majorHAnsi"/>
          <w:b/>
          <w:bCs/>
          <w:sz w:val="22"/>
          <w:szCs w:val="22"/>
        </w:rPr>
      </w:pPr>
      <w:r w:rsidRPr="00403914">
        <w:rPr>
          <w:rFonts w:asciiTheme="majorHAnsi" w:hAnsiTheme="majorHAnsi" w:cstheme="majorHAnsi"/>
          <w:b/>
          <w:bCs/>
          <w:sz w:val="22"/>
          <w:szCs w:val="22"/>
        </w:rPr>
        <w:t>Notes to editors:</w:t>
      </w:r>
    </w:p>
    <w:p w14:paraId="0AC29A37" w14:textId="77777777" w:rsidR="00A01042" w:rsidRPr="00403914" w:rsidRDefault="00A01042" w:rsidP="00A01042">
      <w:pPr>
        <w:rPr>
          <w:rFonts w:asciiTheme="majorHAnsi" w:hAnsiTheme="majorHAnsi" w:cstheme="majorHAnsi"/>
          <w:b/>
          <w:bCs/>
          <w:sz w:val="22"/>
          <w:szCs w:val="22"/>
        </w:rPr>
      </w:pPr>
    </w:p>
    <w:p w14:paraId="66A2D7EB" w14:textId="670ADD30" w:rsidR="00A01042" w:rsidRPr="00403914" w:rsidRDefault="00A01042" w:rsidP="00A01042">
      <w:pPr>
        <w:pStyle w:val="ListParagraph"/>
        <w:numPr>
          <w:ilvl w:val="0"/>
          <w:numId w:val="1"/>
        </w:numPr>
        <w:rPr>
          <w:rFonts w:asciiTheme="majorHAnsi" w:hAnsiTheme="majorHAnsi" w:cstheme="majorHAnsi"/>
          <w:sz w:val="22"/>
          <w:szCs w:val="22"/>
        </w:rPr>
      </w:pPr>
      <w:r w:rsidRPr="00403914">
        <w:rPr>
          <w:rFonts w:asciiTheme="majorHAnsi" w:hAnsiTheme="majorHAnsi" w:cstheme="majorHAnsi"/>
          <w:sz w:val="22"/>
          <w:szCs w:val="22"/>
          <w:lang w:val="en-US"/>
        </w:rPr>
        <w:t>The full report</w:t>
      </w:r>
      <w:r w:rsidR="0015649B" w:rsidRPr="00403914">
        <w:rPr>
          <w:rFonts w:asciiTheme="majorHAnsi" w:hAnsiTheme="majorHAnsi" w:cstheme="majorHAnsi"/>
          <w:sz w:val="22"/>
          <w:szCs w:val="22"/>
          <w:lang w:val="en-US"/>
        </w:rPr>
        <w:t xml:space="preserve"> </w:t>
      </w:r>
      <w:r w:rsidRPr="00403914">
        <w:rPr>
          <w:rFonts w:asciiTheme="majorHAnsi" w:hAnsiTheme="majorHAnsi" w:cstheme="majorHAnsi"/>
          <w:sz w:val="22"/>
          <w:szCs w:val="22"/>
          <w:lang w:val="en-US"/>
        </w:rPr>
        <w:t>‘</w:t>
      </w:r>
      <w:r w:rsidRPr="00403914">
        <w:rPr>
          <w:rFonts w:asciiTheme="majorHAnsi" w:hAnsiTheme="majorHAnsi" w:cstheme="majorHAnsi"/>
          <w:i/>
          <w:iCs/>
          <w:sz w:val="22"/>
          <w:szCs w:val="22"/>
          <w:lang w:val="en-US"/>
        </w:rPr>
        <w:t>Local indicators of child poverty after housing costs, 2021/22’</w:t>
      </w:r>
      <w:r w:rsidR="0015649B" w:rsidRPr="00403914">
        <w:rPr>
          <w:rFonts w:asciiTheme="majorHAnsi" w:hAnsiTheme="majorHAnsi" w:cstheme="majorHAnsi"/>
          <w:sz w:val="22"/>
          <w:szCs w:val="22"/>
          <w:lang w:val="en-US"/>
        </w:rPr>
        <w:t xml:space="preserve">, commissioned from Loughborough university, </w:t>
      </w:r>
      <w:r w:rsidRPr="00403914">
        <w:rPr>
          <w:rFonts w:asciiTheme="majorHAnsi" w:hAnsiTheme="majorHAnsi" w:cstheme="majorHAnsi"/>
          <w:sz w:val="22"/>
          <w:szCs w:val="22"/>
          <w:lang w:val="en-US"/>
        </w:rPr>
        <w:t xml:space="preserve"> </w:t>
      </w:r>
      <w:r w:rsidRPr="00403914">
        <w:rPr>
          <w:rFonts w:asciiTheme="majorHAnsi" w:hAnsiTheme="majorHAnsi" w:cstheme="majorHAnsi"/>
          <w:b/>
          <w:bCs/>
          <w:sz w:val="22"/>
          <w:szCs w:val="22"/>
          <w:lang w:val="en-US"/>
        </w:rPr>
        <w:t xml:space="preserve">as well as tables with Constituency and Local Authority data and further information about the coalitions’ key positions are available </w:t>
      </w:r>
      <w:hyperlink r:id="rId8" w:history="1">
        <w:r w:rsidRPr="00403914">
          <w:rPr>
            <w:rStyle w:val="Hyperlink"/>
            <w:rFonts w:asciiTheme="majorHAnsi" w:hAnsiTheme="majorHAnsi" w:cstheme="majorHAnsi"/>
            <w:sz w:val="22"/>
            <w:szCs w:val="22"/>
            <w:lang w:val="en-US"/>
          </w:rPr>
          <w:t>here</w:t>
        </w:r>
      </w:hyperlink>
      <w:r w:rsidRPr="00403914">
        <w:rPr>
          <w:rFonts w:asciiTheme="majorHAnsi" w:hAnsiTheme="majorHAnsi" w:cstheme="majorHAnsi"/>
          <w:sz w:val="22"/>
          <w:szCs w:val="22"/>
          <w:lang w:val="en-US"/>
        </w:rPr>
        <w:t>.</w:t>
      </w:r>
      <w:r w:rsidRPr="00403914">
        <w:rPr>
          <w:rFonts w:asciiTheme="majorHAnsi" w:hAnsiTheme="majorHAnsi" w:cstheme="majorHAnsi"/>
          <w:sz w:val="22"/>
          <w:szCs w:val="22"/>
        </w:rPr>
        <w:br/>
      </w:r>
    </w:p>
    <w:p w14:paraId="10423C17" w14:textId="77777777" w:rsidR="00A01042" w:rsidRPr="00403914" w:rsidRDefault="00A01042" w:rsidP="00A01042">
      <w:pPr>
        <w:pStyle w:val="ListParagraph"/>
        <w:numPr>
          <w:ilvl w:val="0"/>
          <w:numId w:val="1"/>
        </w:numPr>
        <w:rPr>
          <w:rFonts w:asciiTheme="majorHAnsi" w:eastAsia="Arial" w:hAnsiTheme="majorHAnsi" w:cstheme="majorHAnsi"/>
          <w:sz w:val="22"/>
          <w:szCs w:val="22"/>
          <w:lang w:val="en-US"/>
        </w:rPr>
      </w:pPr>
      <w:r w:rsidRPr="00403914">
        <w:rPr>
          <w:rFonts w:asciiTheme="majorHAnsi" w:eastAsia="Arial" w:hAnsiTheme="majorHAnsi" w:cstheme="majorHAnsi"/>
          <w:color w:val="000000" w:themeColor="text1"/>
          <w:sz w:val="22"/>
          <w:szCs w:val="22"/>
          <w:lang w:val="en-US"/>
        </w:rPr>
        <w:t xml:space="preserve">The End Child Poverty Coalition is made up of 101 </w:t>
      </w:r>
      <w:proofErr w:type="spellStart"/>
      <w:r w:rsidRPr="00403914">
        <w:rPr>
          <w:rFonts w:asciiTheme="majorHAnsi" w:eastAsia="Arial" w:hAnsiTheme="majorHAnsi" w:cstheme="majorHAnsi"/>
          <w:color w:val="000000" w:themeColor="text1"/>
          <w:sz w:val="22"/>
          <w:szCs w:val="22"/>
          <w:lang w:val="en-US"/>
        </w:rPr>
        <w:t>organisations</w:t>
      </w:r>
      <w:proofErr w:type="spellEnd"/>
      <w:r w:rsidRPr="00403914">
        <w:rPr>
          <w:rFonts w:asciiTheme="majorHAnsi" w:eastAsia="Arial" w:hAnsiTheme="majorHAnsi" w:cstheme="majorHAnsi"/>
          <w:color w:val="000000" w:themeColor="text1"/>
          <w:sz w:val="22"/>
          <w:szCs w:val="22"/>
          <w:lang w:val="en-US"/>
        </w:rPr>
        <w:t xml:space="preserve"> including child welfare groups, social justice groups, faith groups, trade unions and others. Together with a group of Youth Ambassadors, members campaign for a UK free of child poverty.</w:t>
      </w:r>
      <w:r w:rsidRPr="00403914">
        <w:rPr>
          <w:rFonts w:asciiTheme="majorHAnsi" w:hAnsiTheme="majorHAnsi" w:cstheme="majorHAnsi"/>
          <w:sz w:val="22"/>
          <w:szCs w:val="22"/>
          <w:lang w:val="en-US"/>
        </w:rPr>
        <w:t xml:space="preserve"> </w:t>
      </w:r>
      <w:r w:rsidRPr="00403914">
        <w:rPr>
          <w:rFonts w:asciiTheme="majorHAnsi" w:eastAsia="Arial" w:hAnsiTheme="majorHAnsi" w:cstheme="majorHAnsi"/>
          <w:sz w:val="22"/>
          <w:szCs w:val="22"/>
          <w:lang w:val="en-US"/>
        </w:rPr>
        <w:t xml:space="preserve">Further information on the Coalition can be found </w:t>
      </w:r>
      <w:hyperlink r:id="rId9">
        <w:r w:rsidRPr="00403914">
          <w:rPr>
            <w:rStyle w:val="Hyperlink"/>
            <w:rFonts w:asciiTheme="majorHAnsi" w:eastAsia="Arial" w:hAnsiTheme="majorHAnsi" w:cstheme="majorHAnsi"/>
            <w:sz w:val="22"/>
            <w:szCs w:val="22"/>
            <w:lang w:val="en-US"/>
          </w:rPr>
          <w:t>here</w:t>
        </w:r>
      </w:hyperlink>
      <w:r w:rsidRPr="00403914">
        <w:rPr>
          <w:rFonts w:asciiTheme="majorHAnsi" w:eastAsia="Arial" w:hAnsiTheme="majorHAnsi" w:cstheme="majorHAnsi"/>
          <w:sz w:val="22"/>
          <w:szCs w:val="22"/>
          <w:lang w:val="en-US"/>
        </w:rPr>
        <w:t>.</w:t>
      </w:r>
    </w:p>
    <w:p w14:paraId="5807EDDC" w14:textId="77777777" w:rsidR="00A01042" w:rsidRPr="00403914" w:rsidRDefault="00A01042" w:rsidP="00A01042">
      <w:pPr>
        <w:rPr>
          <w:rFonts w:asciiTheme="majorHAnsi" w:eastAsia="Arial" w:hAnsiTheme="majorHAnsi" w:cstheme="majorHAnsi"/>
          <w:sz w:val="22"/>
          <w:szCs w:val="22"/>
        </w:rPr>
      </w:pPr>
    </w:p>
    <w:p w14:paraId="433CF0E8" w14:textId="77777777" w:rsidR="00A01042" w:rsidRPr="00403914" w:rsidRDefault="00A01042" w:rsidP="00A01042">
      <w:pPr>
        <w:pStyle w:val="ListParagraph"/>
        <w:numPr>
          <w:ilvl w:val="0"/>
          <w:numId w:val="1"/>
        </w:numPr>
        <w:rPr>
          <w:rFonts w:asciiTheme="majorHAnsi" w:eastAsia="Arial" w:hAnsiTheme="majorHAnsi" w:cstheme="majorHAnsi"/>
          <w:sz w:val="22"/>
          <w:szCs w:val="22"/>
        </w:rPr>
      </w:pPr>
      <w:r w:rsidRPr="00403914">
        <w:rPr>
          <w:rFonts w:asciiTheme="majorHAnsi" w:eastAsia="Arial" w:hAnsiTheme="majorHAnsi" w:cstheme="majorHAnsi"/>
          <w:sz w:val="22"/>
          <w:szCs w:val="22"/>
        </w:rPr>
        <w:t>The statistics on local child poverty rates after housing costs presented in today’s report are calibrated to the Department for Work and Pensions’ (DWP) Households Below Average Income (HBAI) dataset for FYE 2021 and FYE 2022. The DWP’s data has undergone extensive quality assurance prior to publication but, due to sampling issues related to the Covid-19 pandemic, users are encouraged to exercise caution when interpreting this data. We further recommend that users of these Local Child Poverty Statistics focus on longer-term trends to understand how poverty has changed in an area rather than year-on-year changes which are prone to fluctuations.</w:t>
      </w:r>
    </w:p>
    <w:p w14:paraId="13F2C1E9" w14:textId="77777777" w:rsidR="00A01042" w:rsidRPr="00403914" w:rsidRDefault="00A01042" w:rsidP="00A01042">
      <w:pPr>
        <w:pStyle w:val="ListParagraph"/>
        <w:rPr>
          <w:rFonts w:asciiTheme="majorHAnsi" w:eastAsia="Arial" w:hAnsiTheme="majorHAnsi" w:cstheme="majorHAnsi"/>
          <w:color w:val="1F497D"/>
          <w:sz w:val="22"/>
          <w:szCs w:val="22"/>
        </w:rPr>
      </w:pPr>
    </w:p>
    <w:p w14:paraId="45D22991" w14:textId="77777777" w:rsidR="00941721" w:rsidRPr="00403914" w:rsidRDefault="00A01042" w:rsidP="00A01042">
      <w:pPr>
        <w:pStyle w:val="ListParagraph"/>
        <w:numPr>
          <w:ilvl w:val="0"/>
          <w:numId w:val="1"/>
        </w:numPr>
        <w:rPr>
          <w:rFonts w:asciiTheme="majorHAnsi" w:eastAsia="Arial" w:hAnsiTheme="majorHAnsi" w:cstheme="majorHAnsi"/>
          <w:color w:val="1F497D"/>
          <w:sz w:val="22"/>
          <w:szCs w:val="22"/>
        </w:rPr>
      </w:pPr>
      <w:r w:rsidRPr="00403914">
        <w:rPr>
          <w:rFonts w:asciiTheme="majorHAnsi" w:eastAsia="Arial" w:hAnsiTheme="majorHAnsi" w:cstheme="majorHAnsi"/>
          <w:sz w:val="22"/>
          <w:szCs w:val="22"/>
        </w:rPr>
        <w:t xml:space="preserve">More information about the DWP’s Households Below Average Income dataset is available </w:t>
      </w:r>
    </w:p>
    <w:p w14:paraId="6305C203" w14:textId="064FFE0F" w:rsidR="00A01042" w:rsidRDefault="00000000" w:rsidP="00941721">
      <w:pPr>
        <w:pStyle w:val="ListParagraph"/>
        <w:rPr>
          <w:rFonts w:asciiTheme="majorHAnsi" w:eastAsia="Arial" w:hAnsiTheme="majorHAnsi" w:cstheme="majorHAnsi"/>
          <w:color w:val="1F497D"/>
          <w:sz w:val="22"/>
          <w:szCs w:val="22"/>
        </w:rPr>
      </w:pPr>
      <w:hyperlink r:id="rId10" w:history="1">
        <w:r w:rsidR="00A01042" w:rsidRPr="00403914">
          <w:rPr>
            <w:rStyle w:val="Hyperlink"/>
            <w:rFonts w:asciiTheme="majorHAnsi" w:eastAsia="Arial" w:hAnsiTheme="majorHAnsi" w:cstheme="majorHAnsi"/>
            <w:sz w:val="22"/>
            <w:szCs w:val="22"/>
          </w:rPr>
          <w:t>here</w:t>
        </w:r>
        <w:r w:rsidR="00A01042" w:rsidRPr="00403914">
          <w:rPr>
            <w:rFonts w:asciiTheme="majorHAnsi" w:eastAsia="Arial" w:hAnsiTheme="majorHAnsi" w:cstheme="majorHAnsi"/>
            <w:color w:val="1F497D"/>
            <w:sz w:val="22"/>
            <w:szCs w:val="22"/>
          </w:rPr>
          <w:t>.</w:t>
        </w:r>
      </w:hyperlink>
    </w:p>
    <w:p w14:paraId="7B1ED7E5" w14:textId="77777777" w:rsidR="008C1D5C" w:rsidRDefault="008C1D5C" w:rsidP="00941721">
      <w:pPr>
        <w:pStyle w:val="ListParagraph"/>
        <w:rPr>
          <w:rFonts w:asciiTheme="majorHAnsi" w:eastAsia="Arial" w:hAnsiTheme="majorHAnsi" w:cstheme="majorHAnsi"/>
          <w:color w:val="1F497D"/>
          <w:sz w:val="22"/>
          <w:szCs w:val="22"/>
        </w:rPr>
      </w:pPr>
    </w:p>
    <w:p w14:paraId="14E480CE" w14:textId="77777777" w:rsidR="008C1D5C" w:rsidRPr="00403914" w:rsidRDefault="008C1D5C" w:rsidP="00941721">
      <w:pPr>
        <w:pStyle w:val="ListParagraph"/>
        <w:rPr>
          <w:rFonts w:asciiTheme="majorHAnsi" w:eastAsia="Arial" w:hAnsiTheme="majorHAnsi" w:cstheme="majorHAnsi"/>
          <w:color w:val="1F497D"/>
          <w:sz w:val="22"/>
          <w:szCs w:val="22"/>
        </w:rPr>
      </w:pPr>
    </w:p>
    <w:p w14:paraId="6343FC33" w14:textId="24EED4E7" w:rsidR="008C1D5C" w:rsidRPr="008C1D5C" w:rsidRDefault="008C1D5C" w:rsidP="008C1D5C">
      <w:pPr>
        <w:pStyle w:val="ListParagraph"/>
        <w:numPr>
          <w:ilvl w:val="0"/>
          <w:numId w:val="1"/>
        </w:numPr>
        <w:rPr>
          <w:rFonts w:asciiTheme="majorHAnsi" w:hAnsiTheme="majorHAnsi" w:cstheme="majorHAnsi"/>
          <w:sz w:val="22"/>
          <w:szCs w:val="22"/>
        </w:rPr>
      </w:pPr>
      <w:r w:rsidRPr="008C1D5C">
        <w:rPr>
          <w:rFonts w:asciiTheme="majorHAnsi" w:hAnsiTheme="majorHAnsi" w:cstheme="majorHAnsi"/>
          <w:color w:val="201C3E"/>
          <w:sz w:val="22"/>
          <w:szCs w:val="22"/>
          <w:shd w:val="clear" w:color="auto" w:fill="FFFFFF"/>
        </w:rPr>
        <w:t xml:space="preserve">The two-child limit </w:t>
      </w:r>
      <w:r w:rsidRPr="008C1D5C">
        <w:rPr>
          <w:rFonts w:asciiTheme="majorHAnsi" w:hAnsiTheme="majorHAnsi" w:cstheme="majorHAnsi"/>
          <w:color w:val="201C3E"/>
          <w:sz w:val="22"/>
          <w:szCs w:val="22"/>
          <w:shd w:val="clear" w:color="auto" w:fill="FFFFFF"/>
        </w:rPr>
        <w:t xml:space="preserve">policy </w:t>
      </w:r>
      <w:r w:rsidRPr="008C1D5C">
        <w:rPr>
          <w:rFonts w:asciiTheme="majorHAnsi" w:hAnsiTheme="majorHAnsi" w:cstheme="majorHAnsi"/>
          <w:color w:val="201C3E"/>
          <w:sz w:val="22"/>
          <w:szCs w:val="22"/>
          <w:shd w:val="clear" w:color="auto" w:fill="FFFFFF"/>
        </w:rPr>
        <w:t xml:space="preserve">restricts child allowances in universal credit and tax credits to the first two children in a </w:t>
      </w:r>
      <w:proofErr w:type="gramStart"/>
      <w:r w:rsidRPr="008C1D5C">
        <w:rPr>
          <w:rFonts w:asciiTheme="majorHAnsi" w:hAnsiTheme="majorHAnsi" w:cstheme="majorHAnsi"/>
          <w:color w:val="201C3E"/>
          <w:sz w:val="22"/>
          <w:szCs w:val="22"/>
          <w:shd w:val="clear" w:color="auto" w:fill="FFFFFF"/>
        </w:rPr>
        <w:t>family</w:t>
      </w:r>
      <w:r w:rsidR="0024137E">
        <w:rPr>
          <w:rFonts w:asciiTheme="majorHAnsi" w:hAnsiTheme="majorHAnsi" w:cstheme="majorHAnsi"/>
          <w:color w:val="201C3E"/>
          <w:sz w:val="22"/>
          <w:szCs w:val="22"/>
          <w:shd w:val="clear" w:color="auto" w:fill="FFFFFF"/>
        </w:rPr>
        <w:t xml:space="preserve">, </w:t>
      </w:r>
      <w:r w:rsidRPr="008C1D5C">
        <w:rPr>
          <w:rFonts w:asciiTheme="majorHAnsi" w:hAnsiTheme="majorHAnsi" w:cstheme="majorHAnsi"/>
          <w:color w:val="201C3E"/>
          <w:sz w:val="22"/>
          <w:szCs w:val="22"/>
          <w:shd w:val="clear" w:color="auto" w:fill="FFFFFF"/>
        </w:rPr>
        <w:t>unless</w:t>
      </w:r>
      <w:proofErr w:type="gramEnd"/>
      <w:r w:rsidRPr="008C1D5C">
        <w:rPr>
          <w:rFonts w:asciiTheme="majorHAnsi" w:hAnsiTheme="majorHAnsi" w:cstheme="majorHAnsi"/>
          <w:color w:val="201C3E"/>
          <w:sz w:val="22"/>
          <w:szCs w:val="22"/>
          <w:shd w:val="clear" w:color="auto" w:fill="FFFFFF"/>
        </w:rPr>
        <w:t xml:space="preserve"> the children were born before April 2017 when the policy was introduced.</w:t>
      </w:r>
    </w:p>
    <w:p w14:paraId="422F17DB" w14:textId="77777777" w:rsidR="008C1D5C" w:rsidRDefault="008C1D5C" w:rsidP="008C1D5C"/>
    <w:p w14:paraId="52D3D760" w14:textId="77777777" w:rsidR="00242CCD" w:rsidRPr="00403914" w:rsidRDefault="00242CCD" w:rsidP="00941721">
      <w:pPr>
        <w:pStyle w:val="ListParagraph"/>
        <w:rPr>
          <w:rFonts w:asciiTheme="majorHAnsi" w:eastAsia="Arial" w:hAnsiTheme="majorHAnsi" w:cstheme="majorHAnsi"/>
          <w:color w:val="1F497D"/>
          <w:sz w:val="22"/>
          <w:szCs w:val="22"/>
        </w:rPr>
      </w:pPr>
    </w:p>
    <w:p w14:paraId="51A2CF92" w14:textId="4D0CE766" w:rsidR="00242CCD" w:rsidRPr="00403914" w:rsidRDefault="00242CCD" w:rsidP="00242CCD">
      <w:pPr>
        <w:pStyle w:val="ListParagraph"/>
        <w:rPr>
          <w:rFonts w:asciiTheme="majorHAnsi" w:eastAsia="Arial" w:hAnsiTheme="majorHAnsi" w:cstheme="majorHAnsi"/>
          <w:color w:val="7F7F7F" w:themeColor="text1" w:themeTint="80"/>
          <w:sz w:val="22"/>
          <w:szCs w:val="22"/>
        </w:rPr>
      </w:pPr>
      <w:r w:rsidRPr="00403914">
        <w:rPr>
          <w:rFonts w:asciiTheme="majorHAnsi" w:hAnsiTheme="majorHAnsi" w:cstheme="majorHAnsi"/>
          <w:sz w:val="20"/>
          <w:szCs w:val="20"/>
        </w:rPr>
        <w:t>*Source:</w:t>
      </w:r>
      <w:hyperlink r:id="rId11" w:history="1">
        <w:r w:rsidRPr="00403914">
          <w:rPr>
            <w:rStyle w:val="Hyperlink"/>
            <w:rFonts w:asciiTheme="majorHAnsi" w:hAnsiTheme="majorHAnsi" w:cstheme="majorHAnsi"/>
            <w:color w:val="7F7F7F" w:themeColor="text1" w:themeTint="80"/>
            <w:sz w:val="18"/>
            <w:szCs w:val="18"/>
          </w:rPr>
          <w:t>https://www.gov.uk/government/statistics/universal-credit-and-child-tax-credit-claimants-statistics-related-to-the-policy-to-provide-support-for-a-maximum-of-2-children-april-2022/universal-credit-and-child-tax-credit-claimants-statistics-related-to-the-</w:t>
        </w:r>
      </w:hyperlink>
    </w:p>
    <w:p w14:paraId="6EF0DA08" w14:textId="77777777" w:rsidR="00A01042" w:rsidRPr="00403914" w:rsidRDefault="00A01042" w:rsidP="00A01042">
      <w:pPr>
        <w:rPr>
          <w:rFonts w:asciiTheme="majorHAnsi" w:eastAsia="Arial" w:hAnsiTheme="majorHAnsi" w:cstheme="majorHAnsi"/>
          <w:color w:val="0D0D0D" w:themeColor="text1" w:themeTint="F2"/>
          <w:sz w:val="22"/>
          <w:szCs w:val="22"/>
        </w:rPr>
      </w:pPr>
    </w:p>
    <w:p w14:paraId="28E96928" w14:textId="63CDC568" w:rsidR="00A01042" w:rsidRPr="00403914" w:rsidRDefault="00BE634B" w:rsidP="00BE634B">
      <w:pPr>
        <w:ind w:firstLine="360"/>
        <w:rPr>
          <w:rFonts w:asciiTheme="majorHAnsi" w:eastAsia="Arial" w:hAnsiTheme="majorHAnsi" w:cstheme="majorHAnsi"/>
          <w:color w:val="0D0D0D" w:themeColor="text1" w:themeTint="F2"/>
          <w:sz w:val="22"/>
          <w:szCs w:val="22"/>
        </w:rPr>
      </w:pPr>
      <w:r w:rsidRPr="00403914">
        <w:rPr>
          <w:rFonts w:asciiTheme="majorHAnsi" w:eastAsia="Arial" w:hAnsiTheme="majorHAnsi" w:cstheme="majorHAnsi"/>
          <w:color w:val="0D0D0D" w:themeColor="text1" w:themeTint="F2"/>
          <w:sz w:val="22"/>
          <w:szCs w:val="22"/>
        </w:rPr>
        <w:t xml:space="preserve">Media contact: Jane Ahrends 07816 909302 </w:t>
      </w:r>
    </w:p>
    <w:p w14:paraId="45EF231C" w14:textId="77777777" w:rsidR="00A01042" w:rsidRPr="00403914" w:rsidRDefault="00A01042">
      <w:pPr>
        <w:rPr>
          <w:rFonts w:asciiTheme="majorHAnsi" w:hAnsiTheme="majorHAnsi" w:cstheme="majorHAnsi"/>
          <w:sz w:val="22"/>
          <w:szCs w:val="22"/>
        </w:rPr>
      </w:pPr>
    </w:p>
    <w:sectPr w:rsidR="00A01042" w:rsidRPr="004039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6A7C"/>
    <w:multiLevelType w:val="hybridMultilevel"/>
    <w:tmpl w:val="3D8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730AE"/>
    <w:multiLevelType w:val="hybridMultilevel"/>
    <w:tmpl w:val="5E68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4076795">
    <w:abstractNumId w:val="0"/>
  </w:num>
  <w:num w:numId="2" w16cid:durableId="2046179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Q0sjQxMDAwMTA0NzBR0lEKTi0uzszPAykwrAUAFKmaaywAAAA="/>
  </w:docVars>
  <w:rsids>
    <w:rsidRoot w:val="00D17EAE"/>
    <w:rsid w:val="000E7C4E"/>
    <w:rsid w:val="0015649B"/>
    <w:rsid w:val="00194DC4"/>
    <w:rsid w:val="001D7FCF"/>
    <w:rsid w:val="00222A21"/>
    <w:rsid w:val="0024137E"/>
    <w:rsid w:val="00242CCD"/>
    <w:rsid w:val="002471B0"/>
    <w:rsid w:val="00280BE2"/>
    <w:rsid w:val="002F03F5"/>
    <w:rsid w:val="00403914"/>
    <w:rsid w:val="004B08F7"/>
    <w:rsid w:val="00500005"/>
    <w:rsid w:val="00510BCA"/>
    <w:rsid w:val="00546CED"/>
    <w:rsid w:val="00561ABD"/>
    <w:rsid w:val="005B6518"/>
    <w:rsid w:val="006327F4"/>
    <w:rsid w:val="006603DA"/>
    <w:rsid w:val="00794CD8"/>
    <w:rsid w:val="0085297C"/>
    <w:rsid w:val="008842DC"/>
    <w:rsid w:val="008C18B4"/>
    <w:rsid w:val="008C1D5C"/>
    <w:rsid w:val="00920817"/>
    <w:rsid w:val="00930DAE"/>
    <w:rsid w:val="00941721"/>
    <w:rsid w:val="00995E92"/>
    <w:rsid w:val="009D34ED"/>
    <w:rsid w:val="009D5EF7"/>
    <w:rsid w:val="00A01042"/>
    <w:rsid w:val="00A13E17"/>
    <w:rsid w:val="00A25662"/>
    <w:rsid w:val="00AC7FFD"/>
    <w:rsid w:val="00AD5C58"/>
    <w:rsid w:val="00BE634B"/>
    <w:rsid w:val="00BF54F4"/>
    <w:rsid w:val="00C6670A"/>
    <w:rsid w:val="00D17EAE"/>
    <w:rsid w:val="00D34046"/>
    <w:rsid w:val="00D41758"/>
    <w:rsid w:val="00D54CA2"/>
    <w:rsid w:val="00D61030"/>
    <w:rsid w:val="00D95AAB"/>
    <w:rsid w:val="00DD574C"/>
    <w:rsid w:val="00EA4623"/>
    <w:rsid w:val="00EB57AD"/>
    <w:rsid w:val="00F50F63"/>
    <w:rsid w:val="00F817E5"/>
    <w:rsid w:val="00FC2077"/>
    <w:rsid w:val="00FF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E56E1"/>
  <w15:chartTrackingRefBased/>
  <w15:docId w15:val="{8D3283BD-25B8-4266-AAA3-F913A6C7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AE"/>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42"/>
    <w:pPr>
      <w:ind w:left="720"/>
      <w:contextualSpacing/>
    </w:pPr>
  </w:style>
  <w:style w:type="character" w:styleId="Hyperlink">
    <w:name w:val="Hyperlink"/>
    <w:basedOn w:val="DefaultParagraphFont"/>
    <w:uiPriority w:val="99"/>
    <w:unhideWhenUsed/>
    <w:rsid w:val="00A01042"/>
    <w:rPr>
      <w:color w:val="0563C1" w:themeColor="hyperlink"/>
      <w:u w:val="single"/>
    </w:rPr>
  </w:style>
  <w:style w:type="paragraph" w:styleId="Revision">
    <w:name w:val="Revision"/>
    <w:hidden/>
    <w:uiPriority w:val="99"/>
    <w:semiHidden/>
    <w:rsid w:val="00FC2077"/>
    <w:pPr>
      <w:spacing w:after="0" w:line="240" w:lineRule="auto"/>
    </w:pPr>
    <w:rPr>
      <w:kern w:val="0"/>
      <w:sz w:val="24"/>
      <w:szCs w:val="24"/>
      <w14:ligatures w14:val="none"/>
    </w:rPr>
  </w:style>
  <w:style w:type="character" w:styleId="CommentReference">
    <w:name w:val="annotation reference"/>
    <w:basedOn w:val="DefaultParagraphFont"/>
    <w:uiPriority w:val="99"/>
    <w:semiHidden/>
    <w:unhideWhenUsed/>
    <w:rsid w:val="00FC2077"/>
    <w:rPr>
      <w:sz w:val="16"/>
      <w:szCs w:val="16"/>
    </w:rPr>
  </w:style>
  <w:style w:type="paragraph" w:styleId="CommentText">
    <w:name w:val="annotation text"/>
    <w:basedOn w:val="Normal"/>
    <w:link w:val="CommentTextChar"/>
    <w:uiPriority w:val="99"/>
    <w:unhideWhenUsed/>
    <w:rsid w:val="00FC2077"/>
    <w:rPr>
      <w:sz w:val="20"/>
      <w:szCs w:val="20"/>
    </w:rPr>
  </w:style>
  <w:style w:type="character" w:customStyle="1" w:styleId="CommentTextChar">
    <w:name w:val="Comment Text Char"/>
    <w:basedOn w:val="DefaultParagraphFont"/>
    <w:link w:val="CommentText"/>
    <w:uiPriority w:val="99"/>
    <w:rsid w:val="00FC207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C2077"/>
    <w:rPr>
      <w:b/>
      <w:bCs/>
    </w:rPr>
  </w:style>
  <w:style w:type="character" w:customStyle="1" w:styleId="CommentSubjectChar">
    <w:name w:val="Comment Subject Char"/>
    <w:basedOn w:val="CommentTextChar"/>
    <w:link w:val="CommentSubject"/>
    <w:uiPriority w:val="99"/>
    <w:semiHidden/>
    <w:rsid w:val="00FC2077"/>
    <w:rPr>
      <w:b/>
      <w:bCs/>
      <w:kern w:val="0"/>
      <w:sz w:val="20"/>
      <w:szCs w:val="20"/>
      <w14:ligatures w14:val="none"/>
    </w:rPr>
  </w:style>
  <w:style w:type="character" w:styleId="FollowedHyperlink">
    <w:name w:val="FollowedHyperlink"/>
    <w:basedOn w:val="DefaultParagraphFont"/>
    <w:uiPriority w:val="99"/>
    <w:semiHidden/>
    <w:unhideWhenUsed/>
    <w:rsid w:val="0015649B"/>
    <w:rPr>
      <w:color w:val="954F72" w:themeColor="followedHyperlink"/>
      <w:u w:val="single"/>
    </w:rPr>
  </w:style>
  <w:style w:type="table" w:styleId="TableGrid">
    <w:name w:val="Table Grid"/>
    <w:basedOn w:val="TableNormal"/>
    <w:uiPriority w:val="39"/>
    <w:rsid w:val="009208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42DC"/>
    <w:rPr>
      <w:color w:val="605E5C"/>
      <w:shd w:val="clear" w:color="auto" w:fill="E1DFDD"/>
    </w:rPr>
  </w:style>
  <w:style w:type="character" w:customStyle="1" w:styleId="cf01">
    <w:name w:val="cf01"/>
    <w:basedOn w:val="DefaultParagraphFont"/>
    <w:rsid w:val="00242CC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ZECuwl1NVrqgvfV4jHELt2jT0WZ9UU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statistics/universal-credit-and-child-tax-credit-claimants-statistics-related-to-the-policy-to-provide-support-for-a-maximum-of-2-children-april-2022/universal-credit-and-child-tax-credit-claimants-statistics-related-to-the-" TargetMode="External"/><Relationship Id="rId5" Type="http://schemas.openxmlformats.org/officeDocument/2006/relationships/styles" Target="styles.xml"/><Relationship Id="rId10" Type="http://schemas.openxmlformats.org/officeDocument/2006/relationships/hyperlink" Target="https://www.gov.uk/government/statistics/households-below-average-income-for-financial-years-ending-1995-to-2022" TargetMode="External"/><Relationship Id="rId4" Type="http://schemas.openxmlformats.org/officeDocument/2006/relationships/numbering" Target="numbering.xml"/><Relationship Id="rId9" Type="http://schemas.openxmlformats.org/officeDocument/2006/relationships/hyperlink" Target="https://www.dropbox.com/sh/yljl9ie7e6hnq3x/AAAL1KZKpzNahRhIWLnX2RJQa?dl=0&amp;preview=End+Child+Poverty+Policy+Positions+De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0af4e80-7594-466b-a5e0-9b39b70ec9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413B14DC2D04BAFDC9EAF2ED4B97B" ma:contentTypeVersion="3" ma:contentTypeDescription="Create a new document." ma:contentTypeScope="" ma:versionID="1d797ad40471154e315f96224e136159">
  <xsd:schema xmlns:xsd="http://www.w3.org/2001/XMLSchema" xmlns:xs="http://www.w3.org/2001/XMLSchema" xmlns:p="http://schemas.microsoft.com/office/2006/metadata/properties" xmlns:ns3="50af4e80-7594-466b-a5e0-9b39b70ec995" targetNamespace="http://schemas.microsoft.com/office/2006/metadata/properties" ma:root="true" ma:fieldsID="078855a95dfbff9b84e0a01857a89a98" ns3:_="">
    <xsd:import namespace="50af4e80-7594-466b-a5e0-9b39b70ec995"/>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f4e80-7594-466b-a5e0-9b39b70ec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7C89D-E52F-438D-9D5A-745F783676C2}">
  <ds:schemaRefs>
    <ds:schemaRef ds:uri="http://schemas.microsoft.com/sharepoint/v3/contenttype/forms"/>
  </ds:schemaRefs>
</ds:datastoreItem>
</file>

<file path=customXml/itemProps2.xml><?xml version="1.0" encoding="utf-8"?>
<ds:datastoreItem xmlns:ds="http://schemas.openxmlformats.org/officeDocument/2006/customXml" ds:itemID="{29F3F1A5-9175-40E2-99BC-D69D48348829}">
  <ds:schemaRefs>
    <ds:schemaRef ds:uri="http://schemas.microsoft.com/office/2006/metadata/properties"/>
    <ds:schemaRef ds:uri="http://schemas.microsoft.com/office/infopath/2007/PartnerControls"/>
    <ds:schemaRef ds:uri="50af4e80-7594-466b-a5e0-9b39b70ec995"/>
  </ds:schemaRefs>
</ds:datastoreItem>
</file>

<file path=customXml/itemProps3.xml><?xml version="1.0" encoding="utf-8"?>
<ds:datastoreItem xmlns:ds="http://schemas.openxmlformats.org/officeDocument/2006/customXml" ds:itemID="{040B00C1-7AD5-4A3A-AF88-B5CA874A2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f4e80-7594-466b-a5e0-9b39b70ec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Ahrends</dc:creator>
  <cp:keywords/>
  <dc:description/>
  <cp:lastModifiedBy>Jane Ahrends</cp:lastModifiedBy>
  <cp:revision>5</cp:revision>
  <dcterms:created xsi:type="dcterms:W3CDTF">2023-05-31T11:14:00Z</dcterms:created>
  <dcterms:modified xsi:type="dcterms:W3CDTF">2023-05-31T11:31:00Z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0x010100B3F413B14DC2D04BAFDC9EAF2ED4B97B</vt:lpwstr>
  </property>
</Properties>
</file>