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0F5CC" w14:textId="77777777" w:rsidR="00E24F4E" w:rsidRPr="00293E33" w:rsidRDefault="00E24F4E" w:rsidP="007A52DA">
      <w:pPr>
        <w:jc w:val="both"/>
        <w:rPr>
          <w:rFonts w:cstheme="minorHAnsi"/>
        </w:rPr>
      </w:pPr>
      <w:bookmarkStart w:id="0" w:name="_GoBack"/>
      <w:bookmarkEnd w:id="0"/>
    </w:p>
    <w:p w14:paraId="7B1E4259" w14:textId="5669B6B7" w:rsidR="00CA640C" w:rsidRPr="00293E33" w:rsidRDefault="00CA640C" w:rsidP="007A52DA">
      <w:pPr>
        <w:spacing w:line="360" w:lineRule="auto"/>
        <w:jc w:val="both"/>
        <w:rPr>
          <w:rFonts w:cstheme="minorHAnsi"/>
          <w:b/>
          <w:bCs/>
          <w:color w:val="FF0000"/>
          <w:sz w:val="24"/>
          <w:szCs w:val="24"/>
          <w:u w:val="single"/>
        </w:rPr>
      </w:pPr>
      <w:r w:rsidRPr="00293E33">
        <w:rPr>
          <w:rFonts w:cstheme="minorHAnsi"/>
          <w:color w:val="FF0000"/>
          <w:sz w:val="24"/>
          <w:szCs w:val="24"/>
        </w:rPr>
        <w:t xml:space="preserve">Embargoed until: </w:t>
      </w:r>
      <w:r w:rsidRPr="00293E33">
        <w:rPr>
          <w:rFonts w:cstheme="minorHAnsi"/>
          <w:b/>
          <w:bCs/>
          <w:color w:val="FF0000"/>
          <w:sz w:val="24"/>
          <w:szCs w:val="24"/>
          <w:u w:val="single"/>
        </w:rPr>
        <w:t xml:space="preserve">00:01 on </w:t>
      </w:r>
      <w:r w:rsidR="00536D0D" w:rsidRPr="00293E33">
        <w:rPr>
          <w:rFonts w:cstheme="minorHAnsi"/>
          <w:b/>
          <w:bCs/>
          <w:color w:val="FF0000"/>
          <w:sz w:val="24"/>
          <w:szCs w:val="24"/>
          <w:u w:val="single"/>
        </w:rPr>
        <w:t>Tuesday 12</w:t>
      </w:r>
      <w:r w:rsidR="00536D0D" w:rsidRPr="00293E33">
        <w:rPr>
          <w:rFonts w:cstheme="minorHAnsi"/>
          <w:b/>
          <w:bCs/>
          <w:color w:val="FF0000"/>
          <w:sz w:val="24"/>
          <w:szCs w:val="24"/>
          <w:u w:val="single"/>
          <w:vertAlign w:val="superscript"/>
        </w:rPr>
        <w:t>th</w:t>
      </w:r>
      <w:r w:rsidR="00536D0D" w:rsidRPr="00293E33">
        <w:rPr>
          <w:rFonts w:cstheme="minorHAnsi"/>
          <w:b/>
          <w:bCs/>
          <w:color w:val="FF0000"/>
          <w:sz w:val="24"/>
          <w:szCs w:val="24"/>
          <w:u w:val="single"/>
        </w:rPr>
        <w:t xml:space="preserve"> July 2022</w:t>
      </w:r>
    </w:p>
    <w:p w14:paraId="30937C99" w14:textId="23B287D0" w:rsidR="00AC5F36" w:rsidRPr="00293E33" w:rsidRDefault="00AC5F36" w:rsidP="007A52DA">
      <w:pPr>
        <w:jc w:val="both"/>
        <w:rPr>
          <w:rFonts w:cstheme="minorHAnsi"/>
          <w:b/>
          <w:bCs/>
          <w:u w:val="single"/>
        </w:rPr>
      </w:pPr>
      <w:r w:rsidRPr="00293E33">
        <w:rPr>
          <w:rFonts w:cstheme="minorHAnsi"/>
          <w:b/>
          <w:bCs/>
          <w:u w:val="single"/>
        </w:rPr>
        <w:t>Interviews available with</w:t>
      </w:r>
      <w:r w:rsidR="00851967" w:rsidRPr="00293E33">
        <w:rPr>
          <w:rFonts w:cstheme="minorHAnsi"/>
          <w:b/>
          <w:bCs/>
          <w:u w:val="single"/>
        </w:rPr>
        <w:t xml:space="preserve"> Imran Hussain, director of policy and campaigns at Action for Children</w:t>
      </w:r>
      <w:r w:rsidR="007A52DA">
        <w:rPr>
          <w:rFonts w:cstheme="minorHAnsi"/>
          <w:b/>
          <w:bCs/>
          <w:u w:val="single"/>
        </w:rPr>
        <w:t xml:space="preserve"> – 07718 114 038 / </w:t>
      </w:r>
      <w:hyperlink r:id="rId10" w:history="1">
        <w:r w:rsidR="007A52DA" w:rsidRPr="00110CD5">
          <w:rPr>
            <w:rStyle w:val="Hyperlink"/>
            <w:rFonts w:cstheme="minorHAnsi"/>
            <w:b/>
            <w:bCs/>
          </w:rPr>
          <w:t>huw.beale@actionforchildren.org.uk</w:t>
        </w:r>
      </w:hyperlink>
      <w:r w:rsidR="007A52DA">
        <w:rPr>
          <w:rFonts w:cstheme="minorHAnsi"/>
          <w:b/>
          <w:bCs/>
          <w:u w:val="single"/>
        </w:rPr>
        <w:t xml:space="preserve"> </w:t>
      </w:r>
    </w:p>
    <w:p w14:paraId="6BA191DE" w14:textId="2B59942B" w:rsidR="00E24F4E" w:rsidRPr="00293E33" w:rsidRDefault="00E24F4E" w:rsidP="007A52DA">
      <w:pPr>
        <w:jc w:val="both"/>
        <w:rPr>
          <w:rFonts w:cstheme="minorHAnsi"/>
          <w:b/>
        </w:rPr>
      </w:pPr>
    </w:p>
    <w:p w14:paraId="4B740C92" w14:textId="77777777" w:rsidR="00E53D7D" w:rsidRDefault="00536D0D" w:rsidP="007A52DA">
      <w:pPr>
        <w:jc w:val="center"/>
        <w:rPr>
          <w:b/>
          <w:bCs/>
          <w:caps/>
          <w:sz w:val="28"/>
          <w:szCs w:val="28"/>
        </w:rPr>
      </w:pPr>
      <w:r w:rsidRPr="27BC22B7">
        <w:rPr>
          <w:b/>
          <w:bCs/>
          <w:caps/>
          <w:sz w:val="28"/>
          <w:szCs w:val="28"/>
        </w:rPr>
        <w:t xml:space="preserve">New </w:t>
      </w:r>
      <w:r w:rsidR="00553648" w:rsidRPr="27BC22B7">
        <w:rPr>
          <w:b/>
          <w:bCs/>
          <w:caps/>
          <w:sz w:val="28"/>
          <w:szCs w:val="28"/>
        </w:rPr>
        <w:t>FIGURES</w:t>
      </w:r>
      <w:r w:rsidRPr="27BC22B7">
        <w:rPr>
          <w:b/>
          <w:bCs/>
          <w:caps/>
          <w:sz w:val="28"/>
          <w:szCs w:val="28"/>
        </w:rPr>
        <w:t xml:space="preserve"> show </w:t>
      </w:r>
      <w:r w:rsidR="00851967" w:rsidRPr="27BC22B7">
        <w:rPr>
          <w:b/>
          <w:bCs/>
          <w:caps/>
          <w:sz w:val="28"/>
          <w:szCs w:val="28"/>
        </w:rPr>
        <w:t xml:space="preserve">A </w:t>
      </w:r>
      <w:r w:rsidR="007A36FE" w:rsidRPr="27BC22B7">
        <w:rPr>
          <w:b/>
          <w:bCs/>
          <w:caps/>
          <w:sz w:val="28"/>
          <w:szCs w:val="28"/>
        </w:rPr>
        <w:t>QUARTER</w:t>
      </w:r>
      <w:r w:rsidR="00E53D7D">
        <w:rPr>
          <w:b/>
          <w:bCs/>
          <w:caps/>
          <w:sz w:val="28"/>
          <w:szCs w:val="28"/>
        </w:rPr>
        <w:t xml:space="preserve"> </w:t>
      </w:r>
    </w:p>
    <w:p w14:paraId="7DD11EAB" w14:textId="1F1A351B" w:rsidR="000001DA" w:rsidRPr="00293E33" w:rsidRDefault="00E53D7D" w:rsidP="007A52DA">
      <w:pPr>
        <w:jc w:val="center"/>
        <w:rPr>
          <w:rFonts w:cstheme="minorHAnsi"/>
          <w:b/>
          <w:caps/>
          <w:sz w:val="28"/>
        </w:rPr>
      </w:pPr>
      <w:r>
        <w:rPr>
          <w:b/>
          <w:bCs/>
          <w:caps/>
          <w:sz w:val="28"/>
          <w:szCs w:val="28"/>
        </w:rPr>
        <w:t>OF CHILDREN IN SOUTH WEST</w:t>
      </w:r>
      <w:r w:rsidR="00536D0D" w:rsidRPr="00293E33">
        <w:rPr>
          <w:rFonts w:cstheme="minorHAnsi"/>
          <w:b/>
          <w:caps/>
          <w:sz w:val="28"/>
        </w:rPr>
        <w:t xml:space="preserve"> living in poverty</w:t>
      </w:r>
    </w:p>
    <w:p w14:paraId="51A2EDE0" w14:textId="77777777" w:rsidR="00E24F4E" w:rsidRPr="00293E33" w:rsidRDefault="00E24F4E" w:rsidP="007A52DA">
      <w:pPr>
        <w:jc w:val="both"/>
        <w:rPr>
          <w:rFonts w:cstheme="minorHAnsi"/>
          <w:b/>
          <w:caps/>
        </w:rPr>
      </w:pPr>
      <w:r w:rsidRPr="00293E33">
        <w:rPr>
          <w:rFonts w:cstheme="minorHAnsi"/>
          <w:b/>
          <w:caps/>
        </w:rPr>
        <w:tab/>
      </w:r>
    </w:p>
    <w:p w14:paraId="56A3D8BB" w14:textId="58F6E6A6" w:rsidR="00BE3E70" w:rsidRPr="00293E33" w:rsidRDefault="000001DA" w:rsidP="27BC22B7">
      <w:pPr>
        <w:pStyle w:val="ListParagraph"/>
        <w:numPr>
          <w:ilvl w:val="0"/>
          <w:numId w:val="5"/>
        </w:numPr>
        <w:jc w:val="both"/>
      </w:pPr>
      <w:r w:rsidRPr="27BC22B7">
        <w:t xml:space="preserve">Across the </w:t>
      </w:r>
      <w:r w:rsidR="00AE0EAF" w:rsidRPr="27BC22B7">
        <w:t xml:space="preserve">South West </w:t>
      </w:r>
      <w:r w:rsidRPr="27BC22B7">
        <w:t xml:space="preserve">region </w:t>
      </w:r>
      <w:r w:rsidR="00E2392A" w:rsidRPr="27BC22B7">
        <w:t>a quarter (</w:t>
      </w:r>
      <w:r w:rsidR="0012251D">
        <w:t>2</w:t>
      </w:r>
      <w:r w:rsidR="00B25BD2">
        <w:t xml:space="preserve">5 </w:t>
      </w:r>
      <w:r w:rsidRPr="27BC22B7">
        <w:t>per cent</w:t>
      </w:r>
      <w:r w:rsidR="00E2392A" w:rsidRPr="27BC22B7">
        <w:t>)</w:t>
      </w:r>
      <w:r w:rsidRPr="27BC22B7">
        <w:t xml:space="preserve"> of children are living in pov</w:t>
      </w:r>
      <w:r w:rsidR="00BE3E70" w:rsidRPr="27BC22B7">
        <w:t>erty</w:t>
      </w:r>
      <w:r w:rsidRPr="27BC22B7">
        <w:t xml:space="preserve"> </w:t>
      </w:r>
    </w:p>
    <w:p w14:paraId="65C398E6" w14:textId="79C60F26" w:rsidR="00884CFE" w:rsidRPr="00293E33" w:rsidRDefault="00BE3E70" w:rsidP="007A52DA">
      <w:pPr>
        <w:pStyle w:val="ListParagraph"/>
        <w:numPr>
          <w:ilvl w:val="0"/>
          <w:numId w:val="5"/>
        </w:numPr>
        <w:jc w:val="both"/>
        <w:rPr>
          <w:rFonts w:cstheme="minorHAnsi"/>
        </w:rPr>
      </w:pPr>
      <w:r w:rsidRPr="00293E33">
        <w:rPr>
          <w:rFonts w:cstheme="minorHAnsi"/>
        </w:rPr>
        <w:t>T</w:t>
      </w:r>
      <w:r w:rsidR="000001DA" w:rsidRPr="00293E33">
        <w:rPr>
          <w:rFonts w:cstheme="minorHAnsi"/>
        </w:rPr>
        <w:t xml:space="preserve">he highest levels are in </w:t>
      </w:r>
      <w:r w:rsidR="00045542" w:rsidRPr="00293E33">
        <w:rPr>
          <w:rFonts w:cstheme="minorHAnsi"/>
        </w:rPr>
        <w:t>Bristol</w:t>
      </w:r>
      <w:r w:rsidR="000001DA" w:rsidRPr="00293E33">
        <w:rPr>
          <w:rFonts w:cstheme="minorHAnsi"/>
        </w:rPr>
        <w:t xml:space="preserve"> where </w:t>
      </w:r>
      <w:r w:rsidR="00AE0EAF" w:rsidRPr="00293E33">
        <w:rPr>
          <w:rFonts w:cstheme="minorHAnsi"/>
        </w:rPr>
        <w:t>a third (33</w:t>
      </w:r>
      <w:r w:rsidR="001772D3" w:rsidRPr="00293E33">
        <w:rPr>
          <w:rFonts w:cstheme="minorHAnsi"/>
        </w:rPr>
        <w:t>%</w:t>
      </w:r>
      <w:r w:rsidR="00AE0EAF" w:rsidRPr="00293E33">
        <w:rPr>
          <w:rFonts w:cstheme="minorHAnsi"/>
        </w:rPr>
        <w:t>)</w:t>
      </w:r>
      <w:r w:rsidRPr="00293E33">
        <w:rPr>
          <w:rFonts w:cstheme="minorHAnsi"/>
        </w:rPr>
        <w:t xml:space="preserve"> of children are living in poverty</w:t>
      </w:r>
      <w:r w:rsidR="00AA7616" w:rsidRPr="00293E33">
        <w:rPr>
          <w:rFonts w:cstheme="minorHAnsi"/>
        </w:rPr>
        <w:t xml:space="preserve"> </w:t>
      </w:r>
    </w:p>
    <w:p w14:paraId="26CB67BC" w14:textId="19FC3541" w:rsidR="009C4ECB" w:rsidRPr="00293E33" w:rsidRDefault="009C4ECB" w:rsidP="27BC22B7">
      <w:pPr>
        <w:pStyle w:val="ListParagraph"/>
        <w:numPr>
          <w:ilvl w:val="0"/>
          <w:numId w:val="5"/>
        </w:numPr>
        <w:jc w:val="both"/>
      </w:pPr>
      <w:r w:rsidRPr="27BC22B7">
        <w:t xml:space="preserve">Child poverty levels </w:t>
      </w:r>
      <w:r w:rsidR="00CA05CA" w:rsidRPr="27BC22B7">
        <w:t xml:space="preserve">in the South West and across the UK </w:t>
      </w:r>
      <w:r w:rsidRPr="27BC22B7">
        <w:t xml:space="preserve">have remained stubbornly high over the last decade. This was the year the temporary £20 uplift to Universal Credit was introduced, which helped reduce overall UK child poverty levels by four percentage points in a single year. The uplift has since been removed. </w:t>
      </w:r>
    </w:p>
    <w:p w14:paraId="06D86997" w14:textId="17520F68" w:rsidR="001772D3" w:rsidRPr="00293E33" w:rsidRDefault="001772D3" w:rsidP="007A52DA">
      <w:pPr>
        <w:jc w:val="both"/>
        <w:rPr>
          <w:rFonts w:cstheme="minorHAnsi"/>
        </w:rPr>
      </w:pPr>
    </w:p>
    <w:p w14:paraId="42C7B3EC" w14:textId="05F4C37D" w:rsidR="005E18A3" w:rsidRPr="00293E33" w:rsidRDefault="00E64E10" w:rsidP="27BC22B7">
      <w:pPr>
        <w:jc w:val="both"/>
      </w:pPr>
      <w:r w:rsidRPr="27BC22B7">
        <w:t>Today the End Child Poverty Coalition launches its</w:t>
      </w:r>
      <w:r w:rsidR="00536D0D" w:rsidRPr="27BC22B7">
        <w:t xml:space="preserve"> annual child poverty statistics for the UK, </w:t>
      </w:r>
      <w:r w:rsidR="001772D3" w:rsidRPr="27BC22B7">
        <w:t>revealing</w:t>
      </w:r>
      <w:r w:rsidR="00536D0D" w:rsidRPr="27BC22B7">
        <w:t xml:space="preserve"> child poverty levels at a local authority and Westminster constituency level. </w:t>
      </w:r>
    </w:p>
    <w:p w14:paraId="0FC053B2" w14:textId="77777777" w:rsidR="005E18A3" w:rsidRPr="00293E33" w:rsidRDefault="005E18A3" w:rsidP="007A52DA">
      <w:pPr>
        <w:jc w:val="both"/>
        <w:rPr>
          <w:rFonts w:cstheme="minorHAnsi"/>
        </w:rPr>
      </w:pPr>
    </w:p>
    <w:p w14:paraId="728C906D" w14:textId="7699BA53" w:rsidR="00E24F4E" w:rsidRPr="00293E33" w:rsidRDefault="00884CFE" w:rsidP="27BC22B7">
      <w:pPr>
        <w:jc w:val="both"/>
      </w:pPr>
      <w:r w:rsidRPr="27BC22B7">
        <w:t xml:space="preserve">This </w:t>
      </w:r>
      <w:r w:rsidRPr="27BC22B7">
        <w:rPr>
          <w:color w:val="000000" w:themeColor="text1"/>
        </w:rPr>
        <w:t xml:space="preserve">research, carried out by Loughborough University on behalf of the coalition, </w:t>
      </w:r>
      <w:r w:rsidR="001772D3" w:rsidRPr="27BC22B7">
        <w:t>show</w:t>
      </w:r>
      <w:r w:rsidRPr="27BC22B7">
        <w:t>s</w:t>
      </w:r>
      <w:r w:rsidR="00536D0D" w:rsidRPr="27BC22B7">
        <w:t xml:space="preserve"> that </w:t>
      </w:r>
      <w:r w:rsidR="005E18A3" w:rsidRPr="27BC22B7">
        <w:t>a quarter (24.7 per cent)</w:t>
      </w:r>
      <w:r w:rsidR="00536D0D" w:rsidRPr="27BC22B7">
        <w:t xml:space="preserve"> </w:t>
      </w:r>
      <w:r w:rsidR="002333C3" w:rsidRPr="27BC22B7">
        <w:t xml:space="preserve">of </w:t>
      </w:r>
      <w:r w:rsidR="00536D0D" w:rsidRPr="27BC22B7">
        <w:t xml:space="preserve">children and young people in the </w:t>
      </w:r>
      <w:r w:rsidR="005E18A3" w:rsidRPr="27BC22B7">
        <w:t>South West</w:t>
      </w:r>
      <w:r w:rsidR="00536D0D" w:rsidRPr="27BC22B7">
        <w:t xml:space="preserve"> region are living in </w:t>
      </w:r>
      <w:r w:rsidR="000001DA" w:rsidRPr="27BC22B7">
        <w:t xml:space="preserve">poverty, </w:t>
      </w:r>
      <w:r w:rsidR="00A71103" w:rsidRPr="27BC22B7">
        <w:t>the equivalent of</w:t>
      </w:r>
      <w:r w:rsidR="00536D0D" w:rsidRPr="27BC22B7">
        <w:t xml:space="preserve"> </w:t>
      </w:r>
      <w:r w:rsidR="00A71103" w:rsidRPr="27BC22B7">
        <w:t>eight</w:t>
      </w:r>
      <w:r w:rsidR="00536D0D" w:rsidRPr="27BC22B7">
        <w:t xml:space="preserve"> children in a classroom of 30. </w:t>
      </w:r>
      <w:r w:rsidR="001772D3" w:rsidRPr="27BC22B7">
        <w:t xml:space="preserve">In </w:t>
      </w:r>
      <w:r w:rsidR="00A71103" w:rsidRPr="27BC22B7">
        <w:t xml:space="preserve">Bristol </w:t>
      </w:r>
      <w:r w:rsidR="001772D3" w:rsidRPr="27BC22B7">
        <w:t xml:space="preserve">this </w:t>
      </w:r>
      <w:r w:rsidR="002333C3" w:rsidRPr="27BC22B7">
        <w:t>figure reaches</w:t>
      </w:r>
      <w:r w:rsidR="00A71103" w:rsidRPr="27BC22B7">
        <w:t xml:space="preserve"> a third (3</w:t>
      </w:r>
      <w:r w:rsidR="002F3392">
        <w:t>2.6</w:t>
      </w:r>
      <w:r w:rsidR="002333C3" w:rsidRPr="27BC22B7">
        <w:t>%</w:t>
      </w:r>
      <w:r w:rsidR="00A71103" w:rsidRPr="27BC22B7">
        <w:t>)</w:t>
      </w:r>
      <w:r w:rsidR="002333C3" w:rsidRPr="27BC22B7">
        <w:t xml:space="preserve"> of all</w:t>
      </w:r>
      <w:r w:rsidR="001772D3" w:rsidRPr="27BC22B7">
        <w:t xml:space="preserve"> children and young people – or a staggering 1</w:t>
      </w:r>
      <w:r w:rsidR="00676EB3" w:rsidRPr="27BC22B7">
        <w:t>0</w:t>
      </w:r>
      <w:r w:rsidR="00DE267B" w:rsidRPr="27BC22B7">
        <w:t xml:space="preserve"> children in a classroom of 30 (</w:t>
      </w:r>
      <w:r w:rsidR="00263E30" w:rsidRPr="00263E30">
        <w:t xml:space="preserve">see table below for a list of the 10 highest Local Authority areas in the </w:t>
      </w:r>
      <w:r w:rsidR="00263E30">
        <w:t>South West</w:t>
      </w:r>
      <w:r w:rsidR="00DE267B" w:rsidRPr="27BC22B7">
        <w:t>)</w:t>
      </w:r>
      <w:r w:rsidR="00187DB6" w:rsidRPr="27BC22B7">
        <w:t>.</w:t>
      </w:r>
    </w:p>
    <w:p w14:paraId="70008A8C" w14:textId="4D6D94C6" w:rsidR="001772D3" w:rsidRPr="00293E33" w:rsidRDefault="001772D3" w:rsidP="007A52DA">
      <w:pPr>
        <w:jc w:val="both"/>
        <w:rPr>
          <w:rFonts w:cstheme="minorHAnsi"/>
        </w:rPr>
      </w:pPr>
    </w:p>
    <w:p w14:paraId="4CC3FBC1" w14:textId="6EC76E3C" w:rsidR="00F77C97" w:rsidRPr="00293E33" w:rsidRDefault="001772D3" w:rsidP="27BC22B7">
      <w:pPr>
        <w:jc w:val="both"/>
      </w:pPr>
      <w:r w:rsidRPr="006029F3">
        <w:t>Across the region the number of children living in poverty has barely cha</w:t>
      </w:r>
      <w:r w:rsidR="00F77C97" w:rsidRPr="006029F3">
        <w:t>nged in the last 10</w:t>
      </w:r>
      <w:r w:rsidRPr="006029F3">
        <w:t xml:space="preserve"> years, in 2010/11 </w:t>
      </w:r>
      <w:r w:rsidR="00516261" w:rsidRPr="006029F3">
        <w:t>25.4</w:t>
      </w:r>
      <w:r w:rsidRPr="006029F3">
        <w:t>% of children were living in poverty. Meaning there has only be</w:t>
      </w:r>
      <w:r w:rsidR="00F77C97" w:rsidRPr="006029F3">
        <w:t>en a decrease of less than 1 percentage point between 2010/11 and 2021/22.</w:t>
      </w:r>
      <w:r w:rsidR="00F77C97" w:rsidRPr="27BC22B7">
        <w:t xml:space="preserve">  </w:t>
      </w:r>
    </w:p>
    <w:p w14:paraId="5287B70C" w14:textId="120F0FBB" w:rsidR="007474AC" w:rsidRPr="00293E33" w:rsidRDefault="007474AC" w:rsidP="007A52DA">
      <w:pPr>
        <w:jc w:val="both"/>
        <w:rPr>
          <w:rFonts w:cstheme="minorHAnsi"/>
        </w:rPr>
      </w:pPr>
    </w:p>
    <w:p w14:paraId="66DB3626" w14:textId="6C7D2FC3" w:rsidR="007474AC" w:rsidRPr="00293E33" w:rsidRDefault="002333C3" w:rsidP="007A52DA">
      <w:pPr>
        <w:pBdr>
          <w:top w:val="nil"/>
          <w:left w:val="nil"/>
          <w:bottom w:val="nil"/>
          <w:right w:val="nil"/>
          <w:between w:val="nil"/>
        </w:pBdr>
        <w:spacing w:line="259" w:lineRule="auto"/>
        <w:jc w:val="both"/>
        <w:rPr>
          <w:rFonts w:cstheme="minorHAnsi"/>
        </w:rPr>
      </w:pPr>
      <w:r w:rsidRPr="00293E33">
        <w:rPr>
          <w:rFonts w:cstheme="minorHAnsi"/>
        </w:rPr>
        <w:t>For low income families this can mean using food banks and parents skipping meals to feed their children, not being able to afford winter coats or school uniforms, or suffering from the mental worry that comes when you are not able to pay your bills.</w:t>
      </w:r>
      <w:r w:rsidR="00381260" w:rsidRPr="00293E33">
        <w:rPr>
          <w:rFonts w:cstheme="minorHAnsi"/>
        </w:rPr>
        <w:t xml:space="preserve"> We know that certain families are more likely to experience poverty. </w:t>
      </w:r>
      <w:r w:rsidR="00381260" w:rsidRPr="00293E33">
        <w:rPr>
          <w:rFonts w:cstheme="minorHAnsi"/>
          <w:color w:val="000000"/>
        </w:rPr>
        <w:t>In 2020/21 40% of children in lone parent households were in poverty (compared to 24% of those in couple parent households).</w:t>
      </w:r>
      <w:r w:rsidR="00CA5D04" w:rsidRPr="00293E33">
        <w:rPr>
          <w:rFonts w:cstheme="minorHAnsi"/>
          <w:color w:val="000000"/>
        </w:rPr>
        <w:t>*</w:t>
      </w:r>
      <w:r w:rsidR="00381260" w:rsidRPr="00293E33">
        <w:rPr>
          <w:rFonts w:cstheme="minorHAnsi"/>
          <w:color w:val="000000"/>
        </w:rPr>
        <w:t xml:space="preserve"> The latest data available** also shows children from Black and minority ethnic groups are more likely to be in poverty, at 46 per cent, compared with 26 per cent of children in white British families.</w:t>
      </w:r>
    </w:p>
    <w:p w14:paraId="1FAD9E18" w14:textId="57E059AE" w:rsidR="006A1367" w:rsidRPr="00293E33" w:rsidRDefault="006A1367" w:rsidP="007A52DA">
      <w:pPr>
        <w:jc w:val="both"/>
        <w:rPr>
          <w:rFonts w:cstheme="minorHAnsi"/>
        </w:rPr>
      </w:pPr>
    </w:p>
    <w:p w14:paraId="3E2C4480" w14:textId="77777777" w:rsidR="00336261" w:rsidRDefault="00336261" w:rsidP="00336261">
      <w:pPr>
        <w:jc w:val="both"/>
        <w:rPr>
          <w:rFonts w:cstheme="minorHAnsi"/>
        </w:rPr>
      </w:pPr>
      <w:r w:rsidRPr="00336261">
        <w:rPr>
          <w:rFonts w:cstheme="minorHAnsi"/>
          <w:b/>
          <w:bCs/>
        </w:rPr>
        <w:t>CASE STUDY</w:t>
      </w:r>
    </w:p>
    <w:p w14:paraId="6E7B2E76" w14:textId="77777777" w:rsidR="00336261" w:rsidRDefault="00336261" w:rsidP="00336261">
      <w:pPr>
        <w:jc w:val="both"/>
        <w:rPr>
          <w:rFonts w:cstheme="minorHAnsi"/>
        </w:rPr>
      </w:pPr>
    </w:p>
    <w:p w14:paraId="1D94655A" w14:textId="15B324A0" w:rsidR="00336261" w:rsidRDefault="00336261" w:rsidP="00336261">
      <w:pPr>
        <w:jc w:val="both"/>
        <w:rPr>
          <w:rFonts w:cstheme="minorHAnsi"/>
        </w:rPr>
      </w:pPr>
      <w:r w:rsidRPr="00336261">
        <w:rPr>
          <w:rFonts w:cstheme="minorHAnsi"/>
        </w:rPr>
        <w:t>The cost-of-living crisis is a constant struggle for Victoria, a mum-of-four from Bath supported by Action for Children</w:t>
      </w:r>
      <w:r>
        <w:rPr>
          <w:rFonts w:cstheme="minorHAnsi"/>
        </w:rPr>
        <w:t>’s Bath West Children’s Centre</w:t>
      </w:r>
      <w:r w:rsidRPr="00336261">
        <w:rPr>
          <w:rFonts w:cstheme="minorHAnsi"/>
        </w:rPr>
        <w:t>.</w:t>
      </w:r>
    </w:p>
    <w:p w14:paraId="7CBF24A4" w14:textId="77777777" w:rsidR="00336261" w:rsidRDefault="00336261" w:rsidP="00336261">
      <w:pPr>
        <w:jc w:val="both"/>
        <w:rPr>
          <w:rFonts w:cstheme="minorHAnsi"/>
        </w:rPr>
      </w:pPr>
    </w:p>
    <w:p w14:paraId="2D5C593E" w14:textId="6100F4E0" w:rsidR="00336261" w:rsidRDefault="00336261" w:rsidP="00336261">
      <w:pPr>
        <w:jc w:val="both"/>
        <w:rPr>
          <w:rFonts w:cstheme="minorHAnsi"/>
        </w:rPr>
      </w:pPr>
      <w:r w:rsidRPr="00336261">
        <w:rPr>
          <w:rFonts w:cstheme="minorHAnsi"/>
        </w:rPr>
        <w:t xml:space="preserve">The rising prices in the shops and soaring energy bills have left her struggling to make ends meet in recent months. </w:t>
      </w:r>
    </w:p>
    <w:p w14:paraId="5B8980CB" w14:textId="77777777" w:rsidR="00A97124" w:rsidRPr="00336261" w:rsidRDefault="00A97124" w:rsidP="00336261">
      <w:pPr>
        <w:jc w:val="both"/>
        <w:rPr>
          <w:rFonts w:cstheme="minorHAnsi"/>
        </w:rPr>
      </w:pPr>
    </w:p>
    <w:p w14:paraId="4AD86355" w14:textId="77777777" w:rsidR="00336261" w:rsidRPr="00336261" w:rsidRDefault="00336261" w:rsidP="00336261">
      <w:pPr>
        <w:jc w:val="both"/>
        <w:rPr>
          <w:rFonts w:cstheme="minorHAnsi"/>
        </w:rPr>
      </w:pPr>
      <w:r w:rsidRPr="00336261">
        <w:rPr>
          <w:rFonts w:cstheme="minorHAnsi"/>
        </w:rPr>
        <w:t>Victoria’s money problems began a few years ago when the relationship with her former partner and the children’s dad broke down and she moved away with the family.</w:t>
      </w:r>
    </w:p>
    <w:p w14:paraId="6A679C7A" w14:textId="77777777" w:rsidR="00336261" w:rsidRPr="00336261" w:rsidRDefault="00336261" w:rsidP="00336261">
      <w:pPr>
        <w:jc w:val="both"/>
        <w:rPr>
          <w:rFonts w:cstheme="minorHAnsi"/>
        </w:rPr>
      </w:pPr>
    </w:p>
    <w:p w14:paraId="23EAE40A" w14:textId="77777777" w:rsidR="00336261" w:rsidRPr="00336261" w:rsidRDefault="00336261" w:rsidP="00336261">
      <w:pPr>
        <w:jc w:val="both"/>
        <w:rPr>
          <w:rFonts w:cstheme="minorHAnsi"/>
        </w:rPr>
      </w:pPr>
      <w:r w:rsidRPr="00336261">
        <w:rPr>
          <w:rFonts w:cstheme="minorHAnsi"/>
        </w:rPr>
        <w:t>Unable to work because of her caring responsibilities for her youngest children who have a mix of additional needs and serious health conditions, Victoria has had to stretch her benefits income further and further to the point now where she skips meals to make sure her children have enough to eat.</w:t>
      </w:r>
    </w:p>
    <w:p w14:paraId="053B26CF" w14:textId="77777777" w:rsidR="00336261" w:rsidRPr="00336261" w:rsidRDefault="00336261" w:rsidP="00336261">
      <w:pPr>
        <w:jc w:val="both"/>
        <w:rPr>
          <w:rFonts w:cstheme="minorHAnsi"/>
        </w:rPr>
      </w:pPr>
    </w:p>
    <w:p w14:paraId="494C7823" w14:textId="77777777" w:rsidR="00336261" w:rsidRPr="00336261" w:rsidRDefault="00336261" w:rsidP="00336261">
      <w:pPr>
        <w:jc w:val="both"/>
        <w:rPr>
          <w:rFonts w:cstheme="minorHAnsi"/>
        </w:rPr>
      </w:pPr>
      <w:r w:rsidRPr="00336261">
        <w:rPr>
          <w:rFonts w:cstheme="minorHAnsi"/>
        </w:rPr>
        <w:lastRenderedPageBreak/>
        <w:t>She said: ‘I’m not having much for breakfast and skipping lunch every day now - I just survive on tea and coffee during the day. As I speak to you this morning, I’ve had two bananas and that will have to last me until the evening. I then sit my children down with their food and I just have whatever is left over for my main meal. Sometimes that’s just one or two fish fingers and a little bit of beans.</w:t>
      </w:r>
    </w:p>
    <w:p w14:paraId="15A9C59D" w14:textId="77777777" w:rsidR="00336261" w:rsidRPr="00336261" w:rsidRDefault="00336261" w:rsidP="00336261">
      <w:pPr>
        <w:jc w:val="both"/>
        <w:rPr>
          <w:rFonts w:cstheme="minorHAnsi"/>
        </w:rPr>
      </w:pPr>
    </w:p>
    <w:p w14:paraId="2D0EC4EB" w14:textId="77777777" w:rsidR="00336261" w:rsidRDefault="00336261" w:rsidP="00336261">
      <w:pPr>
        <w:jc w:val="both"/>
        <w:rPr>
          <w:rFonts w:cstheme="minorHAnsi"/>
        </w:rPr>
      </w:pPr>
      <w:r w:rsidRPr="00336261">
        <w:rPr>
          <w:rFonts w:cstheme="minorHAnsi"/>
        </w:rPr>
        <w:t xml:space="preserve">‘What’s in my cupboard at the moment is just pasta, cereal, baked beans and bread – most of it’s from foodbanks. I get a food bank parcel from the nursery every week and the girls collect a bag or two of foodbank food from the school too. </w:t>
      </w:r>
    </w:p>
    <w:p w14:paraId="4CDBCBA2" w14:textId="77777777" w:rsidR="00A97124" w:rsidRPr="00336261" w:rsidRDefault="00A97124" w:rsidP="00336261">
      <w:pPr>
        <w:jc w:val="both"/>
        <w:rPr>
          <w:rFonts w:cstheme="minorHAnsi"/>
        </w:rPr>
      </w:pPr>
    </w:p>
    <w:p w14:paraId="2AA53DA5" w14:textId="77777777" w:rsidR="00336261" w:rsidRPr="00336261" w:rsidRDefault="00336261" w:rsidP="00336261">
      <w:pPr>
        <w:jc w:val="both"/>
        <w:rPr>
          <w:rFonts w:cstheme="minorHAnsi"/>
        </w:rPr>
      </w:pPr>
      <w:r w:rsidRPr="00336261">
        <w:rPr>
          <w:rFonts w:cstheme="minorHAnsi"/>
        </w:rPr>
        <w:t>‘I’ve got really bad anxiety, I’m not sleeping with all the money worries keeping me awake at night. I had to find money for one of my daughter’s school trips yesterday and I had to ask my mum for the money as I just couldn’t afford it. It makes you feel you’re not good enough to be a parent when you have to ask for help.</w:t>
      </w:r>
    </w:p>
    <w:p w14:paraId="203AA75A" w14:textId="77777777" w:rsidR="00336261" w:rsidRPr="00336261" w:rsidRDefault="00336261" w:rsidP="00336261">
      <w:pPr>
        <w:jc w:val="both"/>
        <w:rPr>
          <w:rFonts w:cstheme="minorHAnsi"/>
        </w:rPr>
      </w:pPr>
    </w:p>
    <w:p w14:paraId="0532FB52" w14:textId="77777777" w:rsidR="00336261" w:rsidRPr="00336261" w:rsidRDefault="00336261" w:rsidP="00336261">
      <w:pPr>
        <w:jc w:val="both"/>
        <w:rPr>
          <w:rFonts w:cstheme="minorHAnsi"/>
        </w:rPr>
      </w:pPr>
      <w:r w:rsidRPr="00336261">
        <w:rPr>
          <w:rFonts w:cstheme="minorHAnsi"/>
        </w:rPr>
        <w:t>‘My children miss out on after-school clubs as I can’t afford them. My eldest daughter goes to a dance club which you normally have to pay for but they’ve been kind and funded her place. I feel like a charity case and it makes me feel awful. She had a dance show recently and I dressed her in second hand clothes – I didn’t have the money to buy the new, dance clothes – I don’t think anyone noticed but I felt it.’</w:t>
      </w:r>
    </w:p>
    <w:p w14:paraId="0FE0212E" w14:textId="77777777" w:rsidR="00336261" w:rsidRPr="00336261" w:rsidRDefault="00336261" w:rsidP="00336261">
      <w:pPr>
        <w:jc w:val="both"/>
        <w:rPr>
          <w:rFonts w:cstheme="minorHAnsi"/>
        </w:rPr>
      </w:pPr>
    </w:p>
    <w:p w14:paraId="23989F41" w14:textId="77777777" w:rsidR="00A97124" w:rsidRDefault="00336261" w:rsidP="00336261">
      <w:pPr>
        <w:jc w:val="both"/>
        <w:rPr>
          <w:rFonts w:cstheme="minorHAnsi"/>
        </w:rPr>
      </w:pPr>
      <w:r w:rsidRPr="00336261">
        <w:rPr>
          <w:rFonts w:cstheme="minorHAnsi"/>
        </w:rPr>
        <w:t>Explaining what she would have to do if prices and bills continued to rise, Victoria said: ‘It’d come to having to turn the electricity off</w:t>
      </w:r>
      <w:r w:rsidR="00A97124">
        <w:rPr>
          <w:rFonts w:cstheme="minorHAnsi"/>
        </w:rPr>
        <w:t xml:space="preserve"> or something</w:t>
      </w:r>
      <w:r w:rsidRPr="00336261">
        <w:rPr>
          <w:rFonts w:cstheme="minorHAnsi"/>
        </w:rPr>
        <w:t>. I never have the TV on when I’m on my own and I try and do just one load of washing a week and that’s really difficult when you’re a family of five. In an evening we have a hot bath – but we all use the same water.'</w:t>
      </w:r>
    </w:p>
    <w:p w14:paraId="0823E8CF" w14:textId="77777777" w:rsidR="00A97124" w:rsidRDefault="00A97124" w:rsidP="00336261">
      <w:pPr>
        <w:jc w:val="both"/>
        <w:rPr>
          <w:rFonts w:cstheme="minorHAnsi"/>
        </w:rPr>
      </w:pPr>
    </w:p>
    <w:p w14:paraId="076B8706" w14:textId="312233A4" w:rsidR="002333C3" w:rsidRPr="00293E33" w:rsidRDefault="0034393B" w:rsidP="00336261">
      <w:pPr>
        <w:jc w:val="both"/>
        <w:rPr>
          <w:rFonts w:cstheme="minorHAnsi"/>
        </w:rPr>
      </w:pPr>
      <w:r w:rsidRPr="00293E33">
        <w:rPr>
          <w:rFonts w:cstheme="minorHAnsi"/>
        </w:rPr>
        <w:t>Imran Hussain, director of policy and campaigns at Action for Children,</w:t>
      </w:r>
      <w:r w:rsidR="002333C3" w:rsidRPr="00293E33">
        <w:rPr>
          <w:rFonts w:cstheme="minorHAnsi"/>
        </w:rPr>
        <w:t xml:space="preserve"> said</w:t>
      </w:r>
      <w:r w:rsidR="00516261" w:rsidRPr="00293E33">
        <w:rPr>
          <w:rFonts w:cstheme="minorHAnsi"/>
        </w:rPr>
        <w:t>:</w:t>
      </w:r>
    </w:p>
    <w:p w14:paraId="03E55C09" w14:textId="77777777" w:rsidR="00516261" w:rsidRPr="00293E33" w:rsidRDefault="00516261" w:rsidP="007A52DA">
      <w:pPr>
        <w:jc w:val="both"/>
        <w:rPr>
          <w:rFonts w:cstheme="minorHAnsi"/>
        </w:rPr>
      </w:pPr>
    </w:p>
    <w:p w14:paraId="7C2BDCF9" w14:textId="288D3C13" w:rsidR="00BC6BCE" w:rsidRPr="00293E33" w:rsidRDefault="00BC6BCE" w:rsidP="007A52DA">
      <w:pPr>
        <w:jc w:val="both"/>
        <w:rPr>
          <w:rFonts w:cstheme="minorHAnsi"/>
        </w:rPr>
      </w:pPr>
      <w:r w:rsidRPr="00293E33">
        <w:rPr>
          <w:rFonts w:cstheme="minorHAnsi"/>
        </w:rPr>
        <w:t xml:space="preserve">“Child poverty isn’t inevitable, the government can make changes to ensure that families are able to afford the basics for their children. We need urgent decisive action to ensure that next year we aren’t reporting exactly the same figures for the </w:t>
      </w:r>
      <w:r w:rsidR="00516261" w:rsidRPr="00293E33">
        <w:rPr>
          <w:rFonts w:cstheme="minorHAnsi"/>
        </w:rPr>
        <w:t>South West</w:t>
      </w:r>
      <w:r w:rsidRPr="00293E33">
        <w:rPr>
          <w:rFonts w:cstheme="minorHAnsi"/>
        </w:rPr>
        <w:t xml:space="preserve">. </w:t>
      </w:r>
      <w:r w:rsidR="00E042C7" w:rsidRPr="00293E33">
        <w:rPr>
          <w:rFonts w:cstheme="minorHAnsi"/>
        </w:rPr>
        <w:t xml:space="preserve">All children in the </w:t>
      </w:r>
      <w:r w:rsidR="00516261" w:rsidRPr="00293E33">
        <w:rPr>
          <w:rFonts w:cstheme="minorHAnsi"/>
        </w:rPr>
        <w:t>South West</w:t>
      </w:r>
      <w:r w:rsidR="00E042C7" w:rsidRPr="00293E33">
        <w:rPr>
          <w:rFonts w:cstheme="minorHAnsi"/>
        </w:rPr>
        <w:t xml:space="preserve">, and across the UK, </w:t>
      </w:r>
      <w:r w:rsidRPr="00293E33">
        <w:rPr>
          <w:rFonts w:cstheme="minorHAnsi"/>
        </w:rPr>
        <w:t>deserve to live free of poverty and to have the same chances as their peers.”</w:t>
      </w:r>
    </w:p>
    <w:p w14:paraId="39093BA8" w14:textId="62ADC69B" w:rsidR="00884CFE" w:rsidRPr="00293E33" w:rsidRDefault="00884CFE" w:rsidP="007A52DA">
      <w:pPr>
        <w:jc w:val="both"/>
        <w:rPr>
          <w:rFonts w:cstheme="minorHAnsi"/>
        </w:rPr>
      </w:pPr>
    </w:p>
    <w:p w14:paraId="36212F1D" w14:textId="0DCB42CC" w:rsidR="00884CFE" w:rsidRPr="00293E33" w:rsidRDefault="00884CFE" w:rsidP="007A52DA">
      <w:pPr>
        <w:jc w:val="both"/>
        <w:rPr>
          <w:rFonts w:cstheme="minorHAnsi"/>
        </w:rPr>
      </w:pPr>
      <w:r w:rsidRPr="00293E33">
        <w:rPr>
          <w:rFonts w:cstheme="minorHAnsi"/>
        </w:rPr>
        <w:t xml:space="preserve">This data covers the first year of the Covid 19 pandemic, which was also the year that saw poorer households receive the £20 Universal Credit uplift. Whilst in other regions across the UK it seems that this uplift has had more of an impact on child poverty figures, </w:t>
      </w:r>
      <w:r w:rsidR="007474AC" w:rsidRPr="00293E33">
        <w:rPr>
          <w:rFonts w:cstheme="minorHAnsi"/>
        </w:rPr>
        <w:t xml:space="preserve">this trend is not reflected in the </w:t>
      </w:r>
      <w:r w:rsidR="00B06D13" w:rsidRPr="00293E33">
        <w:rPr>
          <w:rFonts w:cstheme="minorHAnsi"/>
        </w:rPr>
        <w:t>South West</w:t>
      </w:r>
      <w:r w:rsidRPr="00293E33">
        <w:rPr>
          <w:rFonts w:cstheme="minorHAnsi"/>
        </w:rPr>
        <w:t xml:space="preserve">. </w:t>
      </w:r>
      <w:r w:rsidR="007474AC" w:rsidRPr="00293E33">
        <w:rPr>
          <w:rFonts w:cstheme="minorHAnsi"/>
        </w:rPr>
        <w:t xml:space="preserve">This </w:t>
      </w:r>
      <w:r w:rsidR="00E2042F" w:rsidRPr="00293E33">
        <w:rPr>
          <w:rFonts w:cstheme="minorHAnsi"/>
        </w:rPr>
        <w:t xml:space="preserve">could be </w:t>
      </w:r>
      <w:r w:rsidR="007474AC" w:rsidRPr="00293E33">
        <w:rPr>
          <w:rFonts w:cstheme="minorHAnsi"/>
        </w:rPr>
        <w:t xml:space="preserve">because </w:t>
      </w:r>
      <w:r w:rsidR="00E2042F" w:rsidRPr="00293E33">
        <w:rPr>
          <w:rFonts w:cstheme="minorHAnsi"/>
        </w:rPr>
        <w:t>many people in the region were in receipt of legacy benefits, so were not receiving Universal Credit payments</w:t>
      </w:r>
      <w:r w:rsidR="007474AC" w:rsidRPr="00293E33">
        <w:rPr>
          <w:rFonts w:cstheme="minorHAnsi"/>
        </w:rPr>
        <w:t xml:space="preserve"> during the pandemic</w:t>
      </w:r>
      <w:r w:rsidR="00E2042F" w:rsidRPr="00293E33">
        <w:rPr>
          <w:rFonts w:cstheme="minorHAnsi"/>
        </w:rPr>
        <w:t xml:space="preserve">. As a result they would not have received the extra cash uplift. </w:t>
      </w:r>
    </w:p>
    <w:p w14:paraId="686464A5" w14:textId="4463B372" w:rsidR="00884CFE" w:rsidRPr="00293E33" w:rsidRDefault="00884CFE" w:rsidP="007A52DA">
      <w:pPr>
        <w:jc w:val="both"/>
        <w:rPr>
          <w:rFonts w:cstheme="minorHAnsi"/>
        </w:rPr>
      </w:pPr>
    </w:p>
    <w:p w14:paraId="3A0F11D9" w14:textId="37045ABD" w:rsidR="006A1367" w:rsidRPr="00293E33" w:rsidRDefault="007474AC" w:rsidP="27BC22B7">
      <w:pPr>
        <w:jc w:val="both"/>
        <w:rPr>
          <w:color w:val="000000"/>
        </w:rPr>
      </w:pPr>
      <w:r w:rsidRPr="27BC22B7">
        <w:t xml:space="preserve">The End Child Poverty coalition believes if the government truly wants to ‘level up’ the country and begin to tackle child poverty, </w:t>
      </w:r>
      <w:r w:rsidR="006A1367" w:rsidRPr="27BC22B7">
        <w:t>MPs must</w:t>
      </w:r>
      <w:r w:rsidRPr="27BC22B7">
        <w:rPr>
          <w:color w:val="000000" w:themeColor="text1"/>
        </w:rPr>
        <w:t xml:space="preserve"> continue to find ways of making social security more adequate in the long term so that every family can afford the essentials. </w:t>
      </w:r>
      <w:r w:rsidR="0037726B" w:rsidRPr="27BC22B7">
        <w:rPr>
          <w:color w:val="000000" w:themeColor="text1"/>
        </w:rPr>
        <w:t>Specifically,</w:t>
      </w:r>
      <w:r w:rsidR="006A1367" w:rsidRPr="27BC22B7">
        <w:rPr>
          <w:color w:val="000000" w:themeColor="text1"/>
        </w:rPr>
        <w:t xml:space="preserve"> the government must ensure:</w:t>
      </w:r>
    </w:p>
    <w:p w14:paraId="253F3B45" w14:textId="4A7FFE68" w:rsidR="007474AC" w:rsidRPr="00293E33" w:rsidRDefault="007474AC" w:rsidP="007A52DA">
      <w:pPr>
        <w:ind w:left="720"/>
        <w:jc w:val="both"/>
        <w:rPr>
          <w:rFonts w:cstheme="minorHAnsi"/>
          <w:color w:val="000000"/>
        </w:rPr>
      </w:pPr>
      <w:r w:rsidRPr="00293E33">
        <w:rPr>
          <w:rFonts w:cstheme="minorHAnsi"/>
        </w:rPr>
        <w:br/>
      </w:r>
      <w:r w:rsidR="006C69A8">
        <w:rPr>
          <w:rFonts w:cstheme="minorHAnsi"/>
          <w:color w:val="000000"/>
        </w:rPr>
        <w:t>1</w:t>
      </w:r>
      <w:r w:rsidRPr="00293E33">
        <w:rPr>
          <w:rFonts w:cstheme="minorHAnsi"/>
          <w:color w:val="000000"/>
        </w:rPr>
        <w:t xml:space="preserve">) </w:t>
      </w:r>
      <w:r w:rsidR="006A1367" w:rsidRPr="00293E33">
        <w:rPr>
          <w:rFonts w:cstheme="minorHAnsi"/>
          <w:color w:val="000000"/>
        </w:rPr>
        <w:t xml:space="preserve">Universal Credit payments </w:t>
      </w:r>
      <w:r w:rsidRPr="00293E33">
        <w:rPr>
          <w:rFonts w:cstheme="minorHAnsi"/>
          <w:color w:val="000000"/>
        </w:rPr>
        <w:t xml:space="preserve">deductions </w:t>
      </w:r>
      <w:r w:rsidR="006A1367" w:rsidRPr="00293E33">
        <w:rPr>
          <w:rFonts w:cstheme="minorHAnsi"/>
          <w:color w:val="000000"/>
        </w:rPr>
        <w:t>are</w:t>
      </w:r>
      <w:r w:rsidRPr="00293E33">
        <w:rPr>
          <w:rFonts w:cstheme="minorHAnsi"/>
          <w:color w:val="000000"/>
        </w:rPr>
        <w:t xml:space="preserve"> reduced and the benefit cap abolished.</w:t>
      </w:r>
    </w:p>
    <w:p w14:paraId="05D189B1" w14:textId="2DA3B32A" w:rsidR="007474AC" w:rsidRPr="00293E33" w:rsidRDefault="006C69A8" w:rsidP="007A52DA">
      <w:pPr>
        <w:ind w:firstLine="720"/>
        <w:jc w:val="both"/>
        <w:rPr>
          <w:rFonts w:cstheme="minorHAnsi"/>
          <w:color w:val="000000"/>
        </w:rPr>
      </w:pPr>
      <w:r>
        <w:rPr>
          <w:rFonts w:cstheme="minorHAnsi"/>
          <w:color w:val="000000"/>
        </w:rPr>
        <w:t>2</w:t>
      </w:r>
      <w:r w:rsidR="007474AC" w:rsidRPr="00293E33">
        <w:rPr>
          <w:rFonts w:cstheme="minorHAnsi"/>
          <w:color w:val="000000"/>
        </w:rPr>
        <w:t xml:space="preserve">) </w:t>
      </w:r>
      <w:r w:rsidR="006A1367" w:rsidRPr="00293E33">
        <w:rPr>
          <w:rFonts w:cstheme="minorHAnsi"/>
          <w:color w:val="000000"/>
        </w:rPr>
        <w:t>There is i</w:t>
      </w:r>
      <w:r w:rsidR="007474AC" w:rsidRPr="00293E33">
        <w:rPr>
          <w:rFonts w:cstheme="minorHAnsi"/>
          <w:color w:val="000000"/>
        </w:rPr>
        <w:t>mprove</w:t>
      </w:r>
      <w:r w:rsidR="006A1367" w:rsidRPr="00293E33">
        <w:rPr>
          <w:rFonts w:cstheme="minorHAnsi"/>
          <w:color w:val="000000"/>
        </w:rPr>
        <w:t>d</w:t>
      </w:r>
      <w:r w:rsidR="007474AC" w:rsidRPr="00293E33">
        <w:rPr>
          <w:rFonts w:cstheme="minorHAnsi"/>
          <w:color w:val="000000"/>
        </w:rPr>
        <w:t xml:space="preserve"> access to free or affordable childcare.</w:t>
      </w:r>
    </w:p>
    <w:p w14:paraId="529C0F4C" w14:textId="7A721A44" w:rsidR="007474AC" w:rsidRPr="00293E33" w:rsidRDefault="006C69A8" w:rsidP="007A52DA">
      <w:pPr>
        <w:ind w:left="720"/>
        <w:jc w:val="both"/>
        <w:rPr>
          <w:rFonts w:cstheme="minorHAnsi"/>
        </w:rPr>
      </w:pPr>
      <w:r>
        <w:rPr>
          <w:rFonts w:cstheme="minorHAnsi"/>
          <w:color w:val="000000"/>
        </w:rPr>
        <w:t>3</w:t>
      </w:r>
      <w:r w:rsidR="007474AC" w:rsidRPr="00293E33">
        <w:rPr>
          <w:rFonts w:cstheme="minorHAnsi"/>
          <w:color w:val="000000"/>
        </w:rPr>
        <w:t xml:space="preserve">) Free School Meals in England and Wales are extended to all children in families receiving Universal Credit. </w:t>
      </w:r>
    </w:p>
    <w:p w14:paraId="5D79B85C" w14:textId="77777777" w:rsidR="00166CFB" w:rsidRPr="00293E33" w:rsidRDefault="00166CFB" w:rsidP="007A52DA">
      <w:pPr>
        <w:jc w:val="both"/>
        <w:rPr>
          <w:rFonts w:cstheme="minorHAnsi"/>
        </w:rPr>
      </w:pPr>
    </w:p>
    <w:p w14:paraId="59C82D9D" w14:textId="5970A6B7" w:rsidR="00884CFE" w:rsidRPr="00293E33" w:rsidRDefault="00884CFE" w:rsidP="27BC22B7">
      <w:pPr>
        <w:jc w:val="both"/>
      </w:pPr>
      <w:r w:rsidRPr="27BC22B7">
        <w:t>The table below shows the 10 Local Authorities in th</w:t>
      </w:r>
      <w:r w:rsidR="00293E33" w:rsidRPr="27BC22B7">
        <w:t xml:space="preserve">e South </w:t>
      </w:r>
      <w:r w:rsidRPr="27BC22B7">
        <w:t>West with the highest levels of child poverty</w:t>
      </w:r>
    </w:p>
    <w:p w14:paraId="32E0C948" w14:textId="77777777" w:rsidR="00AF74A0" w:rsidRPr="00293E33" w:rsidRDefault="00AF74A0" w:rsidP="007A52DA">
      <w:pPr>
        <w:jc w:val="both"/>
        <w:rPr>
          <w:rFonts w:cstheme="minorHAnsi"/>
        </w:rPr>
      </w:pPr>
    </w:p>
    <w:tbl>
      <w:tblPr>
        <w:tblStyle w:val="TableGrid"/>
        <w:tblW w:w="0" w:type="auto"/>
        <w:tblLook w:val="04A0" w:firstRow="1" w:lastRow="0" w:firstColumn="1" w:lastColumn="0" w:noHBand="0" w:noVBand="1"/>
      </w:tblPr>
      <w:tblGrid>
        <w:gridCol w:w="3964"/>
        <w:gridCol w:w="2000"/>
      </w:tblGrid>
      <w:tr w:rsidR="00AF74A0" w:rsidRPr="00293E33" w14:paraId="3B28C61B" w14:textId="77777777" w:rsidTr="00C6177A">
        <w:tc>
          <w:tcPr>
            <w:tcW w:w="3964" w:type="dxa"/>
          </w:tcPr>
          <w:p w14:paraId="710F5432" w14:textId="118F0014" w:rsidR="00AF74A0" w:rsidRPr="00293E33" w:rsidRDefault="00AF74A0" w:rsidP="007A52DA">
            <w:pPr>
              <w:jc w:val="both"/>
              <w:rPr>
                <w:rFonts w:cstheme="minorHAnsi"/>
                <w:b/>
              </w:rPr>
            </w:pPr>
            <w:r w:rsidRPr="00293E33">
              <w:rPr>
                <w:rFonts w:cstheme="minorHAnsi"/>
                <w:b/>
              </w:rPr>
              <w:lastRenderedPageBreak/>
              <w:t>Local Authority</w:t>
            </w:r>
          </w:p>
        </w:tc>
        <w:tc>
          <w:tcPr>
            <w:tcW w:w="2000" w:type="dxa"/>
            <w:tcBorders>
              <w:bottom w:val="single" w:sz="4" w:space="0" w:color="auto"/>
            </w:tcBorders>
          </w:tcPr>
          <w:p w14:paraId="538A4D59" w14:textId="0DA9B0C0" w:rsidR="00AF74A0" w:rsidRPr="00293E33" w:rsidRDefault="00AF74A0" w:rsidP="007A52DA">
            <w:pPr>
              <w:jc w:val="both"/>
              <w:rPr>
                <w:rFonts w:cstheme="minorHAnsi"/>
                <w:b/>
              </w:rPr>
            </w:pPr>
            <w:r w:rsidRPr="00293E33">
              <w:rPr>
                <w:rFonts w:cstheme="minorHAnsi"/>
                <w:b/>
              </w:rPr>
              <w:t>Percentage of children living in poverty in 2020/21</w:t>
            </w:r>
          </w:p>
        </w:tc>
      </w:tr>
      <w:tr w:rsidR="00C6177A" w:rsidRPr="00293E33" w14:paraId="37DDB224" w14:textId="7213B60C" w:rsidTr="00C6177A">
        <w:trPr>
          <w:trHeight w:val="290"/>
        </w:trPr>
        <w:tc>
          <w:tcPr>
            <w:tcW w:w="3964" w:type="dxa"/>
            <w:noWrap/>
            <w:hideMark/>
          </w:tcPr>
          <w:p w14:paraId="7F31E2FB" w14:textId="7496A279" w:rsidR="00C6177A" w:rsidRPr="00B25BD2" w:rsidRDefault="00C6177A" w:rsidP="007A52DA">
            <w:pPr>
              <w:tabs>
                <w:tab w:val="left" w:pos="2752"/>
              </w:tabs>
              <w:jc w:val="both"/>
              <w:rPr>
                <w:rFonts w:eastAsia="Times New Roman" w:cstheme="minorHAnsi"/>
                <w:color w:val="000000"/>
                <w:lang w:eastAsia="en-GB"/>
              </w:rPr>
            </w:pPr>
            <w:r w:rsidRPr="00B25BD2">
              <w:rPr>
                <w:rFonts w:eastAsia="Times New Roman" w:cstheme="minorHAnsi"/>
                <w:color w:val="000000"/>
                <w:lang w:eastAsia="en-GB"/>
              </w:rPr>
              <w:t>Bristol, City of</w:t>
            </w:r>
            <w:r w:rsidRPr="00B25BD2">
              <w:rPr>
                <w:rFonts w:eastAsia="Times New Roman" w:cstheme="minorHAnsi"/>
                <w:color w:val="000000"/>
                <w:lang w:eastAsia="en-GB"/>
              </w:rPr>
              <w:tab/>
            </w:r>
          </w:p>
        </w:tc>
        <w:tc>
          <w:tcPr>
            <w:tcW w:w="2000" w:type="dxa"/>
            <w:tcBorders>
              <w:top w:val="single" w:sz="4" w:space="0" w:color="auto"/>
              <w:left w:val="nil"/>
              <w:bottom w:val="single" w:sz="4" w:space="0" w:color="auto"/>
              <w:right w:val="single" w:sz="4" w:space="0" w:color="auto"/>
            </w:tcBorders>
            <w:shd w:val="clear" w:color="auto" w:fill="auto"/>
            <w:vAlign w:val="bottom"/>
          </w:tcPr>
          <w:p w14:paraId="793BDF52" w14:textId="0A563F77" w:rsidR="00C6177A" w:rsidRPr="00293E33" w:rsidRDefault="00C6177A" w:rsidP="007A52DA">
            <w:pPr>
              <w:tabs>
                <w:tab w:val="left" w:pos="2752"/>
              </w:tabs>
              <w:jc w:val="both"/>
              <w:rPr>
                <w:rFonts w:eastAsia="Times New Roman" w:cstheme="minorHAnsi"/>
                <w:color w:val="000000"/>
                <w:lang w:eastAsia="en-GB"/>
              </w:rPr>
            </w:pPr>
            <w:r w:rsidRPr="00293E33">
              <w:rPr>
                <w:rFonts w:cstheme="minorHAnsi"/>
                <w:color w:val="000000"/>
              </w:rPr>
              <w:t>32.6%</w:t>
            </w:r>
          </w:p>
        </w:tc>
      </w:tr>
      <w:tr w:rsidR="00C6177A" w:rsidRPr="00293E33" w14:paraId="7DEC8C20" w14:textId="17DB9BC3" w:rsidTr="00C6177A">
        <w:trPr>
          <w:trHeight w:val="290"/>
        </w:trPr>
        <w:tc>
          <w:tcPr>
            <w:tcW w:w="3964" w:type="dxa"/>
            <w:noWrap/>
            <w:hideMark/>
          </w:tcPr>
          <w:p w14:paraId="4F07EBC4" w14:textId="77777777" w:rsidR="00C6177A" w:rsidRPr="00B25BD2" w:rsidRDefault="00C6177A" w:rsidP="007A52DA">
            <w:pPr>
              <w:jc w:val="both"/>
              <w:rPr>
                <w:rFonts w:eastAsia="Times New Roman" w:cstheme="minorHAnsi"/>
                <w:color w:val="000000"/>
                <w:lang w:eastAsia="en-GB"/>
              </w:rPr>
            </w:pPr>
            <w:r w:rsidRPr="00B25BD2">
              <w:rPr>
                <w:rFonts w:eastAsia="Times New Roman" w:cstheme="minorHAnsi"/>
                <w:color w:val="000000"/>
                <w:lang w:eastAsia="en-GB"/>
              </w:rPr>
              <w:t>Torridge</w:t>
            </w:r>
          </w:p>
        </w:tc>
        <w:tc>
          <w:tcPr>
            <w:tcW w:w="2000" w:type="dxa"/>
            <w:tcBorders>
              <w:top w:val="single" w:sz="4" w:space="0" w:color="auto"/>
              <w:left w:val="nil"/>
              <w:bottom w:val="single" w:sz="4" w:space="0" w:color="auto"/>
              <w:right w:val="single" w:sz="4" w:space="0" w:color="auto"/>
            </w:tcBorders>
            <w:shd w:val="clear" w:color="auto" w:fill="auto"/>
            <w:vAlign w:val="bottom"/>
          </w:tcPr>
          <w:p w14:paraId="5EF34701" w14:textId="29CD5CB9" w:rsidR="00C6177A" w:rsidRPr="00293E33" w:rsidRDefault="00C6177A" w:rsidP="007A52DA">
            <w:pPr>
              <w:jc w:val="both"/>
              <w:rPr>
                <w:rFonts w:eastAsia="Times New Roman" w:cstheme="minorHAnsi"/>
                <w:color w:val="000000"/>
                <w:lang w:eastAsia="en-GB"/>
              </w:rPr>
            </w:pPr>
            <w:r w:rsidRPr="00293E33">
              <w:rPr>
                <w:rFonts w:cstheme="minorHAnsi"/>
                <w:color w:val="000000"/>
              </w:rPr>
              <w:t>30.4%</w:t>
            </w:r>
          </w:p>
        </w:tc>
      </w:tr>
      <w:tr w:rsidR="00C6177A" w:rsidRPr="00293E33" w14:paraId="0A5147F9" w14:textId="69888BD0" w:rsidTr="00C6177A">
        <w:trPr>
          <w:trHeight w:val="290"/>
        </w:trPr>
        <w:tc>
          <w:tcPr>
            <w:tcW w:w="3964" w:type="dxa"/>
            <w:noWrap/>
            <w:hideMark/>
          </w:tcPr>
          <w:p w14:paraId="76C8A43A" w14:textId="77777777" w:rsidR="00C6177A" w:rsidRPr="00B25BD2" w:rsidRDefault="00C6177A" w:rsidP="007A52DA">
            <w:pPr>
              <w:jc w:val="both"/>
              <w:rPr>
                <w:rFonts w:eastAsia="Times New Roman" w:cstheme="minorHAnsi"/>
                <w:color w:val="000000"/>
                <w:lang w:eastAsia="en-GB"/>
              </w:rPr>
            </w:pPr>
            <w:r w:rsidRPr="00B25BD2">
              <w:rPr>
                <w:rFonts w:eastAsia="Times New Roman" w:cstheme="minorHAnsi"/>
                <w:color w:val="000000"/>
                <w:lang w:eastAsia="en-GB"/>
              </w:rPr>
              <w:t>Cornwall</w:t>
            </w:r>
          </w:p>
        </w:tc>
        <w:tc>
          <w:tcPr>
            <w:tcW w:w="2000" w:type="dxa"/>
            <w:tcBorders>
              <w:top w:val="single" w:sz="4" w:space="0" w:color="auto"/>
              <w:left w:val="nil"/>
              <w:bottom w:val="single" w:sz="4" w:space="0" w:color="auto"/>
              <w:right w:val="single" w:sz="4" w:space="0" w:color="auto"/>
            </w:tcBorders>
            <w:shd w:val="clear" w:color="auto" w:fill="auto"/>
            <w:vAlign w:val="bottom"/>
          </w:tcPr>
          <w:p w14:paraId="36689064" w14:textId="466AEA4A" w:rsidR="00C6177A" w:rsidRPr="00293E33" w:rsidRDefault="00C6177A" w:rsidP="007A52DA">
            <w:pPr>
              <w:jc w:val="both"/>
              <w:rPr>
                <w:rFonts w:eastAsia="Times New Roman" w:cstheme="minorHAnsi"/>
                <w:color w:val="000000"/>
                <w:lang w:eastAsia="en-GB"/>
              </w:rPr>
            </w:pPr>
            <w:r w:rsidRPr="00293E33">
              <w:rPr>
                <w:rFonts w:cstheme="minorHAnsi"/>
                <w:color w:val="000000"/>
              </w:rPr>
              <w:t>29.5%</w:t>
            </w:r>
          </w:p>
        </w:tc>
      </w:tr>
      <w:tr w:rsidR="00C6177A" w:rsidRPr="00293E33" w14:paraId="7EEC62C4" w14:textId="123F6A0F" w:rsidTr="00C6177A">
        <w:trPr>
          <w:trHeight w:val="290"/>
        </w:trPr>
        <w:tc>
          <w:tcPr>
            <w:tcW w:w="3964" w:type="dxa"/>
            <w:noWrap/>
            <w:hideMark/>
          </w:tcPr>
          <w:p w14:paraId="6B42DB85" w14:textId="77777777" w:rsidR="00C6177A" w:rsidRPr="00B25BD2" w:rsidRDefault="00C6177A" w:rsidP="007A52DA">
            <w:pPr>
              <w:jc w:val="both"/>
              <w:rPr>
                <w:rFonts w:eastAsia="Times New Roman" w:cstheme="minorHAnsi"/>
                <w:color w:val="000000"/>
                <w:lang w:eastAsia="en-GB"/>
              </w:rPr>
            </w:pPr>
            <w:r w:rsidRPr="00B25BD2">
              <w:rPr>
                <w:rFonts w:eastAsia="Times New Roman" w:cstheme="minorHAnsi"/>
                <w:color w:val="000000"/>
                <w:lang w:eastAsia="en-GB"/>
              </w:rPr>
              <w:t>Torbay</w:t>
            </w:r>
          </w:p>
        </w:tc>
        <w:tc>
          <w:tcPr>
            <w:tcW w:w="2000" w:type="dxa"/>
            <w:tcBorders>
              <w:top w:val="single" w:sz="4" w:space="0" w:color="auto"/>
              <w:left w:val="nil"/>
              <w:bottom w:val="single" w:sz="4" w:space="0" w:color="auto"/>
              <w:right w:val="single" w:sz="4" w:space="0" w:color="auto"/>
            </w:tcBorders>
            <w:shd w:val="clear" w:color="auto" w:fill="auto"/>
            <w:vAlign w:val="bottom"/>
          </w:tcPr>
          <w:p w14:paraId="25D472D4" w14:textId="0EAB04DC" w:rsidR="00C6177A" w:rsidRPr="00293E33" w:rsidRDefault="00C6177A" w:rsidP="007A52DA">
            <w:pPr>
              <w:jc w:val="both"/>
              <w:rPr>
                <w:rFonts w:eastAsia="Times New Roman" w:cstheme="minorHAnsi"/>
                <w:color w:val="000000"/>
                <w:lang w:eastAsia="en-GB"/>
              </w:rPr>
            </w:pPr>
            <w:r w:rsidRPr="00293E33">
              <w:rPr>
                <w:rFonts w:cstheme="minorHAnsi"/>
                <w:color w:val="000000"/>
              </w:rPr>
              <w:t>28.8%</w:t>
            </w:r>
          </w:p>
        </w:tc>
      </w:tr>
      <w:tr w:rsidR="00C6177A" w:rsidRPr="00293E33" w14:paraId="0D3D6027" w14:textId="2DAAE68E" w:rsidTr="00C6177A">
        <w:trPr>
          <w:trHeight w:val="290"/>
        </w:trPr>
        <w:tc>
          <w:tcPr>
            <w:tcW w:w="3964" w:type="dxa"/>
            <w:noWrap/>
            <w:hideMark/>
          </w:tcPr>
          <w:p w14:paraId="4D95F74F" w14:textId="77777777" w:rsidR="00C6177A" w:rsidRPr="00B25BD2" w:rsidRDefault="00C6177A" w:rsidP="007A52DA">
            <w:pPr>
              <w:jc w:val="both"/>
              <w:rPr>
                <w:rFonts w:eastAsia="Times New Roman" w:cstheme="minorHAnsi"/>
                <w:color w:val="000000"/>
                <w:lang w:eastAsia="en-GB"/>
              </w:rPr>
            </w:pPr>
            <w:r w:rsidRPr="00B25BD2">
              <w:rPr>
                <w:rFonts w:eastAsia="Times New Roman" w:cstheme="minorHAnsi"/>
                <w:color w:val="000000"/>
                <w:lang w:eastAsia="en-GB"/>
              </w:rPr>
              <w:t>Plymouth</w:t>
            </w:r>
          </w:p>
        </w:tc>
        <w:tc>
          <w:tcPr>
            <w:tcW w:w="2000" w:type="dxa"/>
            <w:tcBorders>
              <w:top w:val="single" w:sz="4" w:space="0" w:color="auto"/>
              <w:left w:val="nil"/>
              <w:bottom w:val="single" w:sz="4" w:space="0" w:color="auto"/>
              <w:right w:val="single" w:sz="4" w:space="0" w:color="auto"/>
            </w:tcBorders>
            <w:shd w:val="clear" w:color="auto" w:fill="auto"/>
            <w:vAlign w:val="bottom"/>
          </w:tcPr>
          <w:p w14:paraId="105B90DC" w14:textId="51E61595" w:rsidR="00C6177A" w:rsidRPr="00293E33" w:rsidRDefault="00C6177A" w:rsidP="007A52DA">
            <w:pPr>
              <w:jc w:val="both"/>
              <w:rPr>
                <w:rFonts w:eastAsia="Times New Roman" w:cstheme="minorHAnsi"/>
                <w:color w:val="000000"/>
                <w:lang w:eastAsia="en-GB"/>
              </w:rPr>
            </w:pPr>
            <w:r w:rsidRPr="00293E33">
              <w:rPr>
                <w:rFonts w:cstheme="minorHAnsi"/>
                <w:color w:val="000000"/>
              </w:rPr>
              <w:t>28.4%</w:t>
            </w:r>
          </w:p>
        </w:tc>
      </w:tr>
      <w:tr w:rsidR="00C6177A" w:rsidRPr="00293E33" w14:paraId="0799FED9" w14:textId="3A3BFE00" w:rsidTr="00C6177A">
        <w:trPr>
          <w:trHeight w:val="290"/>
        </w:trPr>
        <w:tc>
          <w:tcPr>
            <w:tcW w:w="3964" w:type="dxa"/>
            <w:noWrap/>
            <w:hideMark/>
          </w:tcPr>
          <w:p w14:paraId="069E7277" w14:textId="77777777" w:rsidR="00C6177A" w:rsidRPr="00B25BD2" w:rsidRDefault="00C6177A" w:rsidP="007A52DA">
            <w:pPr>
              <w:jc w:val="both"/>
              <w:rPr>
                <w:rFonts w:eastAsia="Times New Roman" w:cstheme="minorHAnsi"/>
                <w:lang w:eastAsia="en-GB"/>
              </w:rPr>
            </w:pPr>
            <w:r w:rsidRPr="00B25BD2">
              <w:rPr>
                <w:rFonts w:eastAsia="Times New Roman" w:cstheme="minorHAnsi"/>
                <w:lang w:eastAsia="en-GB"/>
              </w:rPr>
              <w:t>Gloucester</w:t>
            </w:r>
          </w:p>
        </w:tc>
        <w:tc>
          <w:tcPr>
            <w:tcW w:w="2000" w:type="dxa"/>
            <w:tcBorders>
              <w:top w:val="single" w:sz="4" w:space="0" w:color="auto"/>
              <w:left w:val="nil"/>
              <w:bottom w:val="single" w:sz="4" w:space="0" w:color="auto"/>
              <w:right w:val="single" w:sz="4" w:space="0" w:color="auto"/>
            </w:tcBorders>
            <w:shd w:val="clear" w:color="auto" w:fill="auto"/>
            <w:vAlign w:val="bottom"/>
          </w:tcPr>
          <w:p w14:paraId="2A8C2323" w14:textId="02D6CEAC" w:rsidR="00C6177A" w:rsidRPr="00293E33" w:rsidRDefault="00C6177A" w:rsidP="007A52DA">
            <w:pPr>
              <w:jc w:val="both"/>
              <w:rPr>
                <w:rFonts w:eastAsia="Times New Roman" w:cstheme="minorHAnsi"/>
                <w:sz w:val="20"/>
                <w:szCs w:val="20"/>
                <w:lang w:eastAsia="en-GB"/>
              </w:rPr>
            </w:pPr>
            <w:r w:rsidRPr="00293E33">
              <w:rPr>
                <w:rFonts w:cstheme="minorHAnsi"/>
                <w:color w:val="000000"/>
              </w:rPr>
              <w:t>28.0%</w:t>
            </w:r>
          </w:p>
        </w:tc>
      </w:tr>
      <w:tr w:rsidR="00C6177A" w:rsidRPr="00293E33" w14:paraId="5C7DC046" w14:textId="071C9BBA" w:rsidTr="00C6177A">
        <w:trPr>
          <w:trHeight w:val="290"/>
        </w:trPr>
        <w:tc>
          <w:tcPr>
            <w:tcW w:w="3964" w:type="dxa"/>
            <w:noWrap/>
            <w:hideMark/>
          </w:tcPr>
          <w:p w14:paraId="39D2867A" w14:textId="77777777" w:rsidR="00C6177A" w:rsidRPr="00B25BD2" w:rsidRDefault="00C6177A" w:rsidP="007A52DA">
            <w:pPr>
              <w:jc w:val="both"/>
              <w:rPr>
                <w:rFonts w:eastAsia="Times New Roman" w:cstheme="minorHAnsi"/>
                <w:color w:val="000000"/>
                <w:lang w:eastAsia="en-GB"/>
              </w:rPr>
            </w:pPr>
            <w:r w:rsidRPr="00B25BD2">
              <w:rPr>
                <w:rFonts w:eastAsia="Times New Roman" w:cstheme="minorHAnsi"/>
                <w:color w:val="000000"/>
                <w:lang w:eastAsia="en-GB"/>
              </w:rPr>
              <w:t>North Devon</w:t>
            </w:r>
          </w:p>
        </w:tc>
        <w:tc>
          <w:tcPr>
            <w:tcW w:w="2000" w:type="dxa"/>
            <w:tcBorders>
              <w:top w:val="single" w:sz="4" w:space="0" w:color="auto"/>
              <w:left w:val="nil"/>
              <w:bottom w:val="single" w:sz="4" w:space="0" w:color="auto"/>
              <w:right w:val="single" w:sz="4" w:space="0" w:color="auto"/>
            </w:tcBorders>
            <w:shd w:val="clear" w:color="auto" w:fill="auto"/>
            <w:vAlign w:val="bottom"/>
          </w:tcPr>
          <w:p w14:paraId="6F8ED275" w14:textId="05C35249" w:rsidR="00C6177A" w:rsidRPr="00293E33" w:rsidRDefault="00C6177A" w:rsidP="007A52DA">
            <w:pPr>
              <w:jc w:val="both"/>
              <w:rPr>
                <w:rFonts w:eastAsia="Times New Roman" w:cstheme="minorHAnsi"/>
                <w:color w:val="000000"/>
                <w:lang w:eastAsia="en-GB"/>
              </w:rPr>
            </w:pPr>
            <w:r w:rsidRPr="00293E33">
              <w:rPr>
                <w:rFonts w:cstheme="minorHAnsi"/>
                <w:color w:val="000000"/>
              </w:rPr>
              <w:t>28.0%</w:t>
            </w:r>
          </w:p>
        </w:tc>
      </w:tr>
      <w:tr w:rsidR="00C6177A" w:rsidRPr="00293E33" w14:paraId="2092913F" w14:textId="56799B66" w:rsidTr="00C6177A">
        <w:trPr>
          <w:trHeight w:val="290"/>
        </w:trPr>
        <w:tc>
          <w:tcPr>
            <w:tcW w:w="3964" w:type="dxa"/>
            <w:noWrap/>
            <w:hideMark/>
          </w:tcPr>
          <w:p w14:paraId="5F4621FB" w14:textId="77777777" w:rsidR="00C6177A" w:rsidRPr="00B25BD2" w:rsidRDefault="00C6177A" w:rsidP="007A52DA">
            <w:pPr>
              <w:jc w:val="both"/>
              <w:rPr>
                <w:rFonts w:eastAsia="Times New Roman" w:cstheme="minorHAnsi"/>
                <w:color w:val="000000"/>
                <w:lang w:eastAsia="en-GB"/>
              </w:rPr>
            </w:pPr>
            <w:r w:rsidRPr="00B25BD2">
              <w:rPr>
                <w:rFonts w:eastAsia="Times New Roman" w:cstheme="minorHAnsi"/>
                <w:color w:val="000000"/>
                <w:lang w:eastAsia="en-GB"/>
              </w:rPr>
              <w:t>Forest of Dean</w:t>
            </w:r>
          </w:p>
        </w:tc>
        <w:tc>
          <w:tcPr>
            <w:tcW w:w="2000" w:type="dxa"/>
            <w:tcBorders>
              <w:top w:val="single" w:sz="4" w:space="0" w:color="auto"/>
              <w:left w:val="nil"/>
              <w:bottom w:val="single" w:sz="4" w:space="0" w:color="auto"/>
              <w:right w:val="single" w:sz="4" w:space="0" w:color="auto"/>
            </w:tcBorders>
            <w:shd w:val="clear" w:color="auto" w:fill="auto"/>
            <w:vAlign w:val="bottom"/>
          </w:tcPr>
          <w:p w14:paraId="124B8587" w14:textId="31387E09" w:rsidR="00C6177A" w:rsidRPr="00293E33" w:rsidRDefault="00C6177A" w:rsidP="007A52DA">
            <w:pPr>
              <w:jc w:val="both"/>
              <w:rPr>
                <w:rFonts w:eastAsia="Times New Roman" w:cstheme="minorHAnsi"/>
                <w:color w:val="000000"/>
                <w:lang w:eastAsia="en-GB"/>
              </w:rPr>
            </w:pPr>
            <w:r w:rsidRPr="00293E33">
              <w:rPr>
                <w:rFonts w:cstheme="minorHAnsi"/>
                <w:color w:val="000000"/>
              </w:rPr>
              <w:t>26.1%</w:t>
            </w:r>
          </w:p>
        </w:tc>
      </w:tr>
      <w:tr w:rsidR="00C6177A" w:rsidRPr="00293E33" w14:paraId="363964F2" w14:textId="1E7A7246" w:rsidTr="00C6177A">
        <w:trPr>
          <w:trHeight w:val="290"/>
        </w:trPr>
        <w:tc>
          <w:tcPr>
            <w:tcW w:w="3964" w:type="dxa"/>
            <w:noWrap/>
            <w:hideMark/>
          </w:tcPr>
          <w:p w14:paraId="31DAE96A" w14:textId="77777777" w:rsidR="00C6177A" w:rsidRPr="00B25BD2" w:rsidRDefault="00C6177A" w:rsidP="007A52DA">
            <w:pPr>
              <w:jc w:val="both"/>
              <w:rPr>
                <w:rFonts w:eastAsia="Times New Roman" w:cstheme="minorHAnsi"/>
                <w:color w:val="000000"/>
                <w:lang w:eastAsia="en-GB"/>
              </w:rPr>
            </w:pPr>
            <w:r w:rsidRPr="00B25BD2">
              <w:rPr>
                <w:rFonts w:eastAsia="Times New Roman" w:cstheme="minorHAnsi"/>
                <w:color w:val="000000"/>
                <w:lang w:eastAsia="en-GB"/>
              </w:rPr>
              <w:t>Sedgemoor</w:t>
            </w:r>
          </w:p>
        </w:tc>
        <w:tc>
          <w:tcPr>
            <w:tcW w:w="2000" w:type="dxa"/>
            <w:tcBorders>
              <w:top w:val="single" w:sz="4" w:space="0" w:color="auto"/>
              <w:left w:val="nil"/>
              <w:bottom w:val="single" w:sz="4" w:space="0" w:color="auto"/>
              <w:right w:val="single" w:sz="4" w:space="0" w:color="auto"/>
            </w:tcBorders>
            <w:shd w:val="clear" w:color="auto" w:fill="auto"/>
            <w:vAlign w:val="bottom"/>
          </w:tcPr>
          <w:p w14:paraId="5A7EB833" w14:textId="5F47DCA0" w:rsidR="00C6177A" w:rsidRPr="00293E33" w:rsidRDefault="00C6177A" w:rsidP="007A52DA">
            <w:pPr>
              <w:jc w:val="both"/>
              <w:rPr>
                <w:rFonts w:eastAsia="Times New Roman" w:cstheme="minorHAnsi"/>
                <w:color w:val="000000"/>
                <w:lang w:eastAsia="en-GB"/>
              </w:rPr>
            </w:pPr>
            <w:r w:rsidRPr="00293E33">
              <w:rPr>
                <w:rFonts w:cstheme="minorHAnsi"/>
                <w:color w:val="000000"/>
              </w:rPr>
              <w:t>25.8%</w:t>
            </w:r>
          </w:p>
        </w:tc>
      </w:tr>
      <w:tr w:rsidR="00C6177A" w:rsidRPr="00293E33" w14:paraId="515B8B81" w14:textId="1A72016A" w:rsidTr="00C6177A">
        <w:trPr>
          <w:trHeight w:val="290"/>
        </w:trPr>
        <w:tc>
          <w:tcPr>
            <w:tcW w:w="3964" w:type="dxa"/>
            <w:noWrap/>
            <w:hideMark/>
          </w:tcPr>
          <w:p w14:paraId="52E25ECC" w14:textId="77777777" w:rsidR="00C6177A" w:rsidRPr="00B25BD2" w:rsidRDefault="00C6177A" w:rsidP="007A52DA">
            <w:pPr>
              <w:jc w:val="both"/>
              <w:rPr>
                <w:rFonts w:eastAsia="Times New Roman" w:cstheme="minorHAnsi"/>
                <w:color w:val="000000"/>
                <w:lang w:eastAsia="en-GB"/>
              </w:rPr>
            </w:pPr>
            <w:r w:rsidRPr="00B25BD2">
              <w:rPr>
                <w:rFonts w:eastAsia="Times New Roman" w:cstheme="minorHAnsi"/>
                <w:color w:val="000000"/>
                <w:lang w:eastAsia="en-GB"/>
              </w:rPr>
              <w:t>Mid Devon</w:t>
            </w:r>
          </w:p>
        </w:tc>
        <w:tc>
          <w:tcPr>
            <w:tcW w:w="2000" w:type="dxa"/>
            <w:tcBorders>
              <w:top w:val="single" w:sz="4" w:space="0" w:color="auto"/>
              <w:left w:val="nil"/>
              <w:bottom w:val="single" w:sz="4" w:space="0" w:color="auto"/>
              <w:right w:val="single" w:sz="4" w:space="0" w:color="auto"/>
            </w:tcBorders>
            <w:shd w:val="clear" w:color="auto" w:fill="auto"/>
            <w:vAlign w:val="bottom"/>
          </w:tcPr>
          <w:p w14:paraId="22AD0F62" w14:textId="62E7CE03" w:rsidR="00C6177A" w:rsidRPr="00293E33" w:rsidRDefault="00C6177A" w:rsidP="007A52DA">
            <w:pPr>
              <w:jc w:val="both"/>
              <w:rPr>
                <w:rFonts w:eastAsia="Times New Roman" w:cstheme="minorHAnsi"/>
                <w:color w:val="000000"/>
                <w:lang w:eastAsia="en-GB"/>
              </w:rPr>
            </w:pPr>
            <w:r w:rsidRPr="00293E33">
              <w:rPr>
                <w:rFonts w:cstheme="minorHAnsi"/>
                <w:color w:val="000000"/>
              </w:rPr>
              <w:t>25.6%</w:t>
            </w:r>
          </w:p>
        </w:tc>
      </w:tr>
    </w:tbl>
    <w:p w14:paraId="54CB3FC3" w14:textId="77777777" w:rsidR="000001DA" w:rsidRPr="00293E33" w:rsidRDefault="000001DA" w:rsidP="007A52DA">
      <w:pPr>
        <w:jc w:val="both"/>
        <w:rPr>
          <w:rFonts w:cstheme="minorHAnsi"/>
        </w:rPr>
      </w:pPr>
    </w:p>
    <w:p w14:paraId="7B0F2267" w14:textId="52B9C259" w:rsidR="000001DA" w:rsidRPr="00293E33" w:rsidRDefault="000001DA" w:rsidP="007A52DA">
      <w:pPr>
        <w:jc w:val="both"/>
        <w:rPr>
          <w:rFonts w:cstheme="minorHAnsi"/>
        </w:rPr>
      </w:pPr>
    </w:p>
    <w:p w14:paraId="1BDE9871" w14:textId="0EEB121E" w:rsidR="00E24F4E" w:rsidRPr="00293E33" w:rsidRDefault="00BC3B4E" w:rsidP="007A52DA">
      <w:pPr>
        <w:jc w:val="both"/>
        <w:rPr>
          <w:rFonts w:cstheme="minorHAnsi"/>
          <w:b/>
          <w:bCs/>
        </w:rPr>
      </w:pPr>
      <w:r w:rsidRPr="00293E33">
        <w:rPr>
          <w:rFonts w:cstheme="minorHAnsi"/>
          <w:b/>
          <w:bCs/>
        </w:rPr>
        <w:t>ENDS</w:t>
      </w:r>
    </w:p>
    <w:p w14:paraId="7C1EF101" w14:textId="77777777" w:rsidR="00E24F4E" w:rsidRPr="00293E33" w:rsidRDefault="00E24F4E" w:rsidP="007A52DA">
      <w:pPr>
        <w:jc w:val="both"/>
        <w:rPr>
          <w:rFonts w:cstheme="minorHAnsi"/>
        </w:rPr>
      </w:pPr>
    </w:p>
    <w:p w14:paraId="1608F2BD" w14:textId="77777777" w:rsidR="00FA69A1" w:rsidRPr="00293E33" w:rsidRDefault="00FA69A1" w:rsidP="007A52DA">
      <w:pPr>
        <w:jc w:val="both"/>
        <w:rPr>
          <w:rStyle w:val="xnormaltextrun1"/>
          <w:rFonts w:asciiTheme="minorHAnsi" w:hAnsiTheme="minorHAnsi" w:cstheme="minorHAnsi"/>
          <w:b/>
          <w:bCs/>
        </w:rPr>
      </w:pPr>
      <w:r w:rsidRPr="00293E33">
        <w:rPr>
          <w:rStyle w:val="xnormaltextrun1"/>
          <w:rFonts w:asciiTheme="minorHAnsi" w:hAnsiTheme="minorHAnsi" w:cstheme="minorHAnsi"/>
          <w:b/>
          <w:bCs/>
        </w:rPr>
        <w:t xml:space="preserve">Media contact:  </w:t>
      </w:r>
    </w:p>
    <w:p w14:paraId="7054F24E" w14:textId="77777777" w:rsidR="00FA69A1" w:rsidRPr="00293E33" w:rsidRDefault="00FA69A1" w:rsidP="007A52DA">
      <w:pPr>
        <w:pStyle w:val="xparagraph"/>
        <w:jc w:val="both"/>
        <w:textAlignment w:val="baseline"/>
        <w:rPr>
          <w:rStyle w:val="xeop"/>
          <w:rFonts w:asciiTheme="minorHAnsi" w:hAnsiTheme="minorHAnsi" w:cstheme="minorHAnsi"/>
          <w:sz w:val="22"/>
          <w:szCs w:val="22"/>
          <w:lang w:val="en-US"/>
        </w:rPr>
      </w:pPr>
      <w:r w:rsidRPr="00293E33">
        <w:rPr>
          <w:rStyle w:val="xnormaltextrun1"/>
          <w:rFonts w:asciiTheme="minorHAnsi" w:hAnsiTheme="minorHAnsi" w:cstheme="minorHAnsi"/>
          <w:b/>
          <w:bCs/>
          <w:sz w:val="22"/>
          <w:szCs w:val="22"/>
        </w:rPr>
        <w:t xml:space="preserve">Huw Beale, Action for Children – 07718 114 038 / </w:t>
      </w:r>
      <w:hyperlink r:id="rId11" w:history="1">
        <w:r w:rsidRPr="00293E33">
          <w:rPr>
            <w:rStyle w:val="Hyperlink"/>
            <w:rFonts w:asciiTheme="minorHAnsi" w:hAnsiTheme="minorHAnsi" w:cstheme="minorHAnsi"/>
            <w:b/>
            <w:bCs/>
            <w:color w:val="4472C4"/>
            <w:sz w:val="22"/>
            <w:szCs w:val="22"/>
          </w:rPr>
          <w:t>huwbeale@actionforchildren.org.uk</w:t>
        </w:r>
      </w:hyperlink>
      <w:r w:rsidRPr="00293E33">
        <w:rPr>
          <w:rFonts w:asciiTheme="minorHAnsi" w:hAnsiTheme="minorHAnsi" w:cstheme="minorHAnsi"/>
          <w:color w:val="4472C4"/>
          <w:sz w:val="22"/>
          <w:szCs w:val="22"/>
        </w:rPr>
        <w:t xml:space="preserve"> </w:t>
      </w:r>
      <w:r w:rsidRPr="00293E33">
        <w:rPr>
          <w:rStyle w:val="xnormaltextrun1"/>
          <w:rFonts w:asciiTheme="minorHAnsi" w:hAnsiTheme="minorHAnsi" w:cstheme="minorHAnsi"/>
          <w:b/>
          <w:bCs/>
          <w:color w:val="4472C4"/>
          <w:sz w:val="22"/>
          <w:szCs w:val="22"/>
        </w:rPr>
        <w:t>  </w:t>
      </w:r>
      <w:r w:rsidRPr="00293E33">
        <w:rPr>
          <w:rStyle w:val="xeop"/>
          <w:rFonts w:asciiTheme="minorHAnsi" w:hAnsiTheme="minorHAnsi" w:cstheme="minorHAnsi"/>
          <w:b/>
          <w:bCs/>
          <w:color w:val="4472C4"/>
          <w:sz w:val="22"/>
          <w:szCs w:val="22"/>
          <w:lang w:val="en-US"/>
        </w:rPr>
        <w:t> </w:t>
      </w:r>
    </w:p>
    <w:p w14:paraId="05E09CA4" w14:textId="77777777" w:rsidR="00FA69A1" w:rsidRPr="00293E33" w:rsidRDefault="00FA69A1" w:rsidP="007A52DA">
      <w:pPr>
        <w:pStyle w:val="xparagraph"/>
        <w:jc w:val="both"/>
        <w:textAlignment w:val="baseline"/>
        <w:rPr>
          <w:rFonts w:asciiTheme="minorHAnsi" w:hAnsiTheme="minorHAnsi" w:cstheme="minorHAnsi"/>
        </w:rPr>
      </w:pPr>
      <w:r w:rsidRPr="00293E33">
        <w:rPr>
          <w:rStyle w:val="xnormaltextrun1"/>
          <w:rFonts w:asciiTheme="minorHAnsi" w:hAnsiTheme="minorHAnsi" w:cstheme="minorHAnsi"/>
          <w:sz w:val="22"/>
          <w:szCs w:val="22"/>
        </w:rPr>
        <w:t xml:space="preserve">Out of hours – 07802 806 679 / </w:t>
      </w:r>
      <w:hyperlink r:id="rId12" w:history="1">
        <w:r w:rsidRPr="00293E33">
          <w:rPr>
            <w:rStyle w:val="Hyperlink"/>
            <w:rFonts w:asciiTheme="minorHAnsi" w:hAnsiTheme="minorHAnsi" w:cstheme="minorHAnsi"/>
            <w:color w:val="4472C4"/>
            <w:sz w:val="22"/>
            <w:szCs w:val="22"/>
          </w:rPr>
          <w:t>mediateam@actionforchildren.org.uk</w:t>
        </w:r>
      </w:hyperlink>
      <w:r w:rsidRPr="00293E33">
        <w:rPr>
          <w:rFonts w:asciiTheme="minorHAnsi" w:hAnsiTheme="minorHAnsi" w:cstheme="minorHAnsi"/>
          <w:color w:val="4472C4"/>
          <w:sz w:val="22"/>
          <w:szCs w:val="22"/>
        </w:rPr>
        <w:t xml:space="preserve"> </w:t>
      </w:r>
    </w:p>
    <w:p w14:paraId="14E5EE43" w14:textId="77777777" w:rsidR="00FA69A1" w:rsidRPr="00293E33" w:rsidRDefault="00FA69A1" w:rsidP="007A52DA">
      <w:pPr>
        <w:pStyle w:val="xparagraph"/>
        <w:jc w:val="both"/>
        <w:textAlignment w:val="baseline"/>
        <w:rPr>
          <w:rFonts w:asciiTheme="minorHAnsi" w:hAnsiTheme="minorHAnsi" w:cstheme="minorHAnsi"/>
          <w:b/>
          <w:bCs/>
          <w:color w:val="212529"/>
          <w:sz w:val="22"/>
          <w:szCs w:val="22"/>
        </w:rPr>
      </w:pPr>
      <w:r w:rsidRPr="00293E33">
        <w:rPr>
          <w:rFonts w:asciiTheme="minorHAnsi" w:hAnsiTheme="minorHAnsi" w:cstheme="minorHAnsi"/>
          <w:b/>
          <w:bCs/>
          <w:color w:val="212529"/>
          <w:sz w:val="22"/>
          <w:szCs w:val="22"/>
        </w:rPr>
        <w:t>NOTES TO EDITORS</w:t>
      </w:r>
    </w:p>
    <w:p w14:paraId="78803E56" w14:textId="178FF8FC" w:rsidR="00E24F4E" w:rsidRPr="00293E33" w:rsidRDefault="00E24F4E" w:rsidP="007A52DA">
      <w:pPr>
        <w:pStyle w:val="ListParagraph"/>
        <w:numPr>
          <w:ilvl w:val="0"/>
          <w:numId w:val="2"/>
        </w:numPr>
        <w:jc w:val="both"/>
        <w:rPr>
          <w:rFonts w:cstheme="minorHAnsi"/>
          <w:sz w:val="20"/>
          <w:szCs w:val="20"/>
        </w:rPr>
      </w:pPr>
      <w:r w:rsidRPr="00293E33">
        <w:rPr>
          <w:rFonts w:cstheme="minorHAnsi"/>
          <w:sz w:val="20"/>
          <w:szCs w:val="20"/>
        </w:rPr>
        <w:t>The End Child Poverty coalition (www.endchildpoverty.</w:t>
      </w:r>
      <w:r w:rsidR="00E64E10" w:rsidRPr="00293E33">
        <w:rPr>
          <w:rFonts w:cstheme="minorHAnsi"/>
          <w:sz w:val="20"/>
          <w:szCs w:val="20"/>
        </w:rPr>
        <w:t>org.uk) is made up of around 75</w:t>
      </w:r>
      <w:r w:rsidRPr="00293E33">
        <w:rPr>
          <w:rFonts w:cstheme="minorHAnsi"/>
          <w:sz w:val="20"/>
          <w:szCs w:val="20"/>
        </w:rPr>
        <w:t xml:space="preserve"> organisations from civic society including children’s charities, child welfare organisations, social justice groups, faith groups, trade unions and others, united in our vision of a UK free of child poverty. These include Child Poverty Action Group, The</w:t>
      </w:r>
      <w:r w:rsidR="00DC2EC4" w:rsidRPr="00293E33">
        <w:rPr>
          <w:rFonts w:cstheme="minorHAnsi"/>
          <w:sz w:val="20"/>
          <w:szCs w:val="20"/>
        </w:rPr>
        <w:t xml:space="preserve"> Children’s Society, Buttle UK</w:t>
      </w:r>
      <w:r w:rsidRPr="00293E33">
        <w:rPr>
          <w:rFonts w:cstheme="minorHAnsi"/>
          <w:sz w:val="20"/>
          <w:szCs w:val="20"/>
        </w:rPr>
        <w:t>, Gingerbread, Oxfam</w:t>
      </w:r>
      <w:r w:rsidR="00DC2EC4" w:rsidRPr="00293E33">
        <w:rPr>
          <w:rFonts w:cstheme="minorHAnsi"/>
          <w:sz w:val="20"/>
          <w:szCs w:val="20"/>
        </w:rPr>
        <w:t xml:space="preserve"> GB, Action for Children, TUC</w:t>
      </w:r>
      <w:r w:rsidRPr="00293E33">
        <w:rPr>
          <w:rFonts w:cstheme="minorHAnsi"/>
          <w:sz w:val="20"/>
          <w:szCs w:val="20"/>
        </w:rPr>
        <w:t xml:space="preserve">, Save the Children, and the National Children’s Bureau.  </w:t>
      </w:r>
    </w:p>
    <w:p w14:paraId="094F8F07" w14:textId="77777777" w:rsidR="00AC5F36" w:rsidRPr="00293E33" w:rsidRDefault="00AC5F36" w:rsidP="007A52DA">
      <w:pPr>
        <w:pStyle w:val="ListParagraph"/>
        <w:jc w:val="both"/>
        <w:rPr>
          <w:rFonts w:cstheme="minorHAnsi"/>
          <w:sz w:val="20"/>
          <w:szCs w:val="20"/>
        </w:rPr>
      </w:pPr>
    </w:p>
    <w:p w14:paraId="5BD3CF8B" w14:textId="77777777" w:rsidR="00AC5F36" w:rsidRPr="00293E33" w:rsidRDefault="00AC5F36" w:rsidP="007A52DA">
      <w:pPr>
        <w:pStyle w:val="ListParagraph"/>
        <w:numPr>
          <w:ilvl w:val="0"/>
          <w:numId w:val="2"/>
        </w:numPr>
        <w:jc w:val="both"/>
        <w:rPr>
          <w:rFonts w:eastAsiaTheme="minorEastAsia" w:cstheme="minorHAnsi"/>
          <w:noProof/>
          <w:sz w:val="20"/>
          <w:szCs w:val="20"/>
          <w:lang w:eastAsia="en-GB"/>
        </w:rPr>
      </w:pPr>
      <w:r w:rsidRPr="00293E33">
        <w:rPr>
          <w:rFonts w:cstheme="minorHAnsi"/>
          <w:sz w:val="20"/>
          <w:szCs w:val="20"/>
        </w:rPr>
        <w:t xml:space="preserve">You can get in touch with the coalition by emailing rachel@endchildpoverty.org.uk or on 07918 567577. </w:t>
      </w:r>
    </w:p>
    <w:p w14:paraId="38292B47" w14:textId="77777777" w:rsidR="00AC5F36" w:rsidRPr="00293E33" w:rsidRDefault="00AC5F36" w:rsidP="007A52DA">
      <w:pPr>
        <w:pStyle w:val="ListParagraph"/>
        <w:jc w:val="both"/>
        <w:rPr>
          <w:rFonts w:cstheme="minorHAnsi"/>
          <w:sz w:val="20"/>
          <w:szCs w:val="20"/>
        </w:rPr>
      </w:pPr>
    </w:p>
    <w:p w14:paraId="7933539C" w14:textId="77777777" w:rsidR="006029F3" w:rsidRDefault="00CA3D52" w:rsidP="006029F3">
      <w:pPr>
        <w:pStyle w:val="ListParagraph"/>
        <w:numPr>
          <w:ilvl w:val="0"/>
          <w:numId w:val="2"/>
        </w:numPr>
        <w:pBdr>
          <w:top w:val="nil"/>
          <w:left w:val="nil"/>
          <w:bottom w:val="nil"/>
          <w:right w:val="nil"/>
          <w:between w:val="nil"/>
        </w:pBdr>
        <w:spacing w:after="160" w:line="259" w:lineRule="auto"/>
        <w:jc w:val="both"/>
        <w:rPr>
          <w:rFonts w:cstheme="minorHAnsi"/>
          <w:sz w:val="20"/>
          <w:szCs w:val="20"/>
        </w:rPr>
      </w:pPr>
      <w:hyperlink r:id="rId13" w:history="1">
        <w:r w:rsidR="00AC5F36" w:rsidRPr="006029F3">
          <w:rPr>
            <w:rStyle w:val="Hyperlink"/>
            <w:rFonts w:cstheme="minorHAnsi"/>
            <w:sz w:val="20"/>
            <w:szCs w:val="20"/>
          </w:rPr>
          <w:t xml:space="preserve">The full report </w:t>
        </w:r>
        <w:r w:rsidR="003A60D3" w:rsidRPr="006029F3">
          <w:rPr>
            <w:rStyle w:val="Hyperlink"/>
            <w:rFonts w:cstheme="minorHAnsi"/>
            <w:sz w:val="20"/>
            <w:szCs w:val="20"/>
          </w:rPr>
          <w:t>is available here</w:t>
        </w:r>
      </w:hyperlink>
      <w:r w:rsidR="003A60D3">
        <w:rPr>
          <w:rFonts w:cstheme="minorHAnsi"/>
          <w:sz w:val="20"/>
          <w:szCs w:val="20"/>
        </w:rPr>
        <w:t xml:space="preserve"> </w:t>
      </w:r>
      <w:r w:rsidR="00AC5F36" w:rsidRPr="008C41D6">
        <w:rPr>
          <w:rFonts w:cstheme="minorHAnsi"/>
          <w:sz w:val="20"/>
          <w:szCs w:val="20"/>
        </w:rPr>
        <w:t xml:space="preserve">and </w:t>
      </w:r>
      <w:hyperlink r:id="rId14" w:history="1">
        <w:r w:rsidR="00AC5F36" w:rsidRPr="003A60D3">
          <w:rPr>
            <w:rStyle w:val="Hyperlink"/>
            <w:rFonts w:cstheme="minorHAnsi"/>
            <w:sz w:val="20"/>
            <w:szCs w:val="20"/>
          </w:rPr>
          <w:t>data tables here</w:t>
        </w:r>
      </w:hyperlink>
    </w:p>
    <w:p w14:paraId="59F31A34" w14:textId="77777777" w:rsidR="006029F3" w:rsidRDefault="006029F3" w:rsidP="006029F3">
      <w:pPr>
        <w:pStyle w:val="ListParagraph"/>
        <w:pBdr>
          <w:top w:val="nil"/>
          <w:left w:val="nil"/>
          <w:bottom w:val="nil"/>
          <w:right w:val="nil"/>
          <w:between w:val="nil"/>
        </w:pBdr>
        <w:spacing w:after="160" w:line="259" w:lineRule="auto"/>
        <w:jc w:val="both"/>
        <w:rPr>
          <w:rFonts w:cstheme="minorHAnsi"/>
          <w:sz w:val="20"/>
          <w:szCs w:val="20"/>
        </w:rPr>
      </w:pPr>
    </w:p>
    <w:p w14:paraId="40137C5B" w14:textId="2B0EFE02" w:rsidR="00386F7F" w:rsidRPr="006029F3" w:rsidRDefault="00386F7F" w:rsidP="006029F3">
      <w:pPr>
        <w:pStyle w:val="ListParagraph"/>
        <w:numPr>
          <w:ilvl w:val="0"/>
          <w:numId w:val="2"/>
        </w:numPr>
        <w:pBdr>
          <w:top w:val="nil"/>
          <w:left w:val="nil"/>
          <w:bottom w:val="nil"/>
          <w:right w:val="nil"/>
          <w:between w:val="nil"/>
        </w:pBdr>
        <w:spacing w:after="160" w:line="259" w:lineRule="auto"/>
        <w:jc w:val="both"/>
        <w:rPr>
          <w:rFonts w:cstheme="minorHAnsi"/>
          <w:sz w:val="20"/>
          <w:szCs w:val="20"/>
        </w:rPr>
      </w:pPr>
      <w:r w:rsidRPr="006029F3">
        <w:rPr>
          <w:rFonts w:cstheme="minorHAnsi"/>
          <w:color w:val="000000"/>
          <w:sz w:val="20"/>
          <w:szCs w:val="20"/>
        </w:rPr>
        <w:t xml:space="preserve">The figures are based on the Department for Work and Pensions Children in low income families: local area statistics which estimates the poverty rate before housing costs. A statistical model is used to estimate child poverty after housing costs which draws on household survey data alongside local area statistics on private rent levels. The statistics are calibrated to regional 3-year averages from Households Below Average Income (HBAI) for the financial years 2018/19 to 2020/21. The HBAI figures for 2020/21 are less reliable than earlier years due to sampling issues related to the pandemic. This should be kept in mind when interpreting the statistics released today, but the impact is lessened by the use of three-year averages for regional figures. More information on HBAI is available here. </w:t>
      </w:r>
    </w:p>
    <w:p w14:paraId="46968BF8" w14:textId="77777777" w:rsidR="00386F7F" w:rsidRPr="00386F7F" w:rsidRDefault="00386F7F" w:rsidP="00386F7F">
      <w:pPr>
        <w:pBdr>
          <w:top w:val="nil"/>
          <w:left w:val="nil"/>
          <w:bottom w:val="nil"/>
          <w:right w:val="nil"/>
          <w:between w:val="nil"/>
        </w:pBdr>
        <w:spacing w:line="259" w:lineRule="auto"/>
        <w:ind w:left="720"/>
        <w:jc w:val="both"/>
        <w:rPr>
          <w:rFonts w:cstheme="minorHAnsi"/>
          <w:color w:val="000000"/>
          <w:sz w:val="20"/>
          <w:szCs w:val="20"/>
        </w:rPr>
      </w:pPr>
    </w:p>
    <w:p w14:paraId="661431F9" w14:textId="1305D872" w:rsidR="27BC22B7" w:rsidRPr="008C41D6" w:rsidRDefault="00386F7F" w:rsidP="008C41D6">
      <w:pPr>
        <w:pBdr>
          <w:top w:val="nil"/>
          <w:left w:val="nil"/>
          <w:bottom w:val="nil"/>
          <w:right w:val="nil"/>
          <w:between w:val="nil"/>
        </w:pBdr>
        <w:spacing w:line="259" w:lineRule="auto"/>
        <w:ind w:left="720"/>
        <w:jc w:val="both"/>
        <w:rPr>
          <w:rFonts w:cstheme="minorHAnsi"/>
          <w:color w:val="000000"/>
          <w:sz w:val="20"/>
          <w:szCs w:val="20"/>
        </w:rPr>
      </w:pPr>
      <w:r w:rsidRPr="00386F7F">
        <w:rPr>
          <w:rFonts w:cstheme="minorHAnsi"/>
          <w:color w:val="000000"/>
          <w:sz w:val="20"/>
          <w:szCs w:val="20"/>
        </w:rPr>
        <w:t>Users are advised that the data for individual local authorities and parliamentary constituencies are subject to small statistical fluctuations year-on-year and should be considered within the context of the regional or the longer-term local trend.</w:t>
      </w:r>
    </w:p>
    <w:p w14:paraId="0D0EDC3B" w14:textId="11E6661A" w:rsidR="00CA5D04" w:rsidRPr="00293E33" w:rsidRDefault="00CA5D04" w:rsidP="007A52DA">
      <w:pPr>
        <w:pBdr>
          <w:top w:val="nil"/>
          <w:left w:val="nil"/>
          <w:bottom w:val="nil"/>
          <w:right w:val="nil"/>
          <w:between w:val="nil"/>
        </w:pBdr>
        <w:spacing w:after="160" w:line="259" w:lineRule="auto"/>
        <w:jc w:val="both"/>
        <w:rPr>
          <w:rFonts w:cstheme="minorHAnsi"/>
          <w:sz w:val="20"/>
          <w:szCs w:val="20"/>
        </w:rPr>
      </w:pPr>
    </w:p>
    <w:p w14:paraId="6FAEA005" w14:textId="58FE03DA" w:rsidR="00CA5D04" w:rsidRPr="00293E33" w:rsidRDefault="00CA5D04" w:rsidP="007A52DA">
      <w:pPr>
        <w:jc w:val="both"/>
        <w:rPr>
          <w:rFonts w:cstheme="minorHAnsi"/>
          <w:sz w:val="20"/>
          <w:szCs w:val="20"/>
        </w:rPr>
      </w:pPr>
      <w:r w:rsidRPr="00293E33">
        <w:rPr>
          <w:rFonts w:cstheme="minorHAnsi"/>
          <w:sz w:val="20"/>
          <w:szCs w:val="20"/>
        </w:rPr>
        <w:t xml:space="preserve">*Calculated from Households below Average Income for the financial year 2020/21. Note that caution should be used in interpreting HBAI statistics for 2020/21 due to sampling issues related to the pandemic. Further information is available </w:t>
      </w:r>
      <w:hyperlink r:id="rId15" w:history="1">
        <w:r w:rsidRPr="00293E33">
          <w:rPr>
            <w:rFonts w:cstheme="minorHAnsi"/>
            <w:sz w:val="20"/>
            <w:szCs w:val="20"/>
          </w:rPr>
          <w:t>here</w:t>
        </w:r>
      </w:hyperlink>
    </w:p>
    <w:p w14:paraId="193DD0E3" w14:textId="4C3F1CC1" w:rsidR="00CA5D04" w:rsidRPr="00293E33" w:rsidRDefault="00CA5D04" w:rsidP="007A52DA">
      <w:pPr>
        <w:jc w:val="both"/>
        <w:rPr>
          <w:rFonts w:cstheme="minorHAnsi"/>
          <w:sz w:val="20"/>
          <w:szCs w:val="20"/>
        </w:rPr>
      </w:pPr>
      <w:r w:rsidRPr="00293E33">
        <w:rPr>
          <w:rFonts w:cstheme="minorHAnsi"/>
          <w:sz w:val="20"/>
          <w:szCs w:val="20"/>
        </w:rPr>
        <w:t>** Calculations from Households Below Average Income statistics on the number and percentage of people living in low income households for financial year 2019/20, Tables 4_3db &amp; 4_5db. Department for Work and Pensions.</w:t>
      </w:r>
    </w:p>
    <w:p w14:paraId="4567E00B" w14:textId="77777777" w:rsidR="00293E33" w:rsidRPr="00293E33" w:rsidRDefault="00293E33" w:rsidP="007A52DA">
      <w:pPr>
        <w:pStyle w:val="xparagraph"/>
        <w:jc w:val="both"/>
        <w:rPr>
          <w:rFonts w:asciiTheme="minorHAnsi" w:hAnsiTheme="minorHAnsi" w:cstheme="minorHAnsi"/>
          <w:sz w:val="20"/>
          <w:szCs w:val="20"/>
        </w:rPr>
      </w:pPr>
      <w:r w:rsidRPr="00293E33">
        <w:rPr>
          <w:rStyle w:val="normaltextrun1"/>
          <w:rFonts w:asciiTheme="minorHAnsi" w:hAnsiTheme="minorHAnsi" w:cstheme="minorHAnsi"/>
          <w:sz w:val="20"/>
          <w:szCs w:val="20"/>
        </w:rPr>
        <w:t xml:space="preserve">Action for Children protects and supports vulnerable children and young people by providing practical and emotional care and support, ensuring their voices are heard and campaigning to bring lasting improvements to their lives. With 512 services across the UK, in schools and online, in 2020/21 we helped 604,885 children, young people and families. </w:t>
      </w:r>
      <w:hyperlink r:id="rId16" w:history="1">
        <w:r w:rsidRPr="00293E33">
          <w:rPr>
            <w:rStyle w:val="Hyperlink"/>
            <w:rFonts w:asciiTheme="minorHAnsi" w:hAnsiTheme="minorHAnsi" w:cstheme="minorHAnsi"/>
            <w:color w:val="4472C4"/>
            <w:sz w:val="20"/>
            <w:szCs w:val="20"/>
          </w:rPr>
          <w:t>actionforchildren.org.uk</w:t>
        </w:r>
      </w:hyperlink>
    </w:p>
    <w:p w14:paraId="39030F1F" w14:textId="77777777" w:rsidR="00293E33" w:rsidRPr="00293E33" w:rsidRDefault="00293E33" w:rsidP="007A52DA">
      <w:pPr>
        <w:jc w:val="both"/>
        <w:rPr>
          <w:rFonts w:cstheme="minorHAnsi"/>
          <w:sz w:val="20"/>
          <w:szCs w:val="20"/>
        </w:rPr>
      </w:pPr>
    </w:p>
    <w:p w14:paraId="5730FAB5" w14:textId="77777777" w:rsidR="00CA5D04" w:rsidRPr="00293E33" w:rsidRDefault="00CA5D04" w:rsidP="007A52DA">
      <w:pPr>
        <w:jc w:val="both"/>
        <w:rPr>
          <w:rFonts w:eastAsiaTheme="minorEastAsia" w:cstheme="minorHAnsi"/>
          <w:noProof/>
          <w:sz w:val="20"/>
          <w:szCs w:val="20"/>
          <w:lang w:eastAsia="en-GB"/>
        </w:rPr>
      </w:pPr>
    </w:p>
    <w:sectPr w:rsidR="00CA5D04" w:rsidRPr="00293E33" w:rsidSect="0037726B">
      <w:head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1B916" w14:textId="77777777" w:rsidR="005F194D" w:rsidRDefault="005F194D" w:rsidP="00E24F4E">
      <w:r>
        <w:separator/>
      </w:r>
    </w:p>
  </w:endnote>
  <w:endnote w:type="continuationSeparator" w:id="0">
    <w:p w14:paraId="53750B8F" w14:textId="77777777" w:rsidR="005F194D" w:rsidRDefault="005F194D" w:rsidP="00E24F4E">
      <w:r>
        <w:continuationSeparator/>
      </w:r>
    </w:p>
  </w:endnote>
  <w:endnote w:type="continuationNotice" w:id="1">
    <w:p w14:paraId="32B1BF1B" w14:textId="77777777" w:rsidR="005F194D" w:rsidRDefault="005F1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E2542" w14:textId="77777777" w:rsidR="005F194D" w:rsidRDefault="005F194D" w:rsidP="00E24F4E">
      <w:r>
        <w:separator/>
      </w:r>
    </w:p>
  </w:footnote>
  <w:footnote w:type="continuationSeparator" w:id="0">
    <w:p w14:paraId="0E9F0F92" w14:textId="77777777" w:rsidR="005F194D" w:rsidRDefault="005F194D" w:rsidP="00E24F4E">
      <w:r>
        <w:continuationSeparator/>
      </w:r>
    </w:p>
  </w:footnote>
  <w:footnote w:type="continuationNotice" w:id="1">
    <w:p w14:paraId="330E3F95" w14:textId="77777777" w:rsidR="005F194D" w:rsidRDefault="005F19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ABBE" w14:textId="77777777" w:rsidR="00E24F4E" w:rsidRDefault="00E24F4E">
    <w:pPr>
      <w:pStyle w:val="Header"/>
    </w:pPr>
    <w:r>
      <w:rPr>
        <w:noProof/>
        <w:lang w:eastAsia="en-GB"/>
      </w:rPr>
      <w:drawing>
        <wp:anchor distT="0" distB="0" distL="114300" distR="114300" simplePos="0" relativeHeight="251658240" behindDoc="0" locked="0" layoutInCell="1" allowOverlap="1" wp14:anchorId="0D067A7E" wp14:editId="4C95EB72">
          <wp:simplePos x="0" y="0"/>
          <wp:positionH relativeFrom="column">
            <wp:posOffset>-565150</wp:posOffset>
          </wp:positionH>
          <wp:positionV relativeFrom="paragraph">
            <wp:posOffset>-144780</wp:posOffset>
          </wp:positionV>
          <wp:extent cx="1861800" cy="608728"/>
          <wp:effectExtent l="0" t="0" r="571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P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800" cy="608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19BA"/>
    <w:multiLevelType w:val="hybridMultilevel"/>
    <w:tmpl w:val="57CA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B3483"/>
    <w:multiLevelType w:val="hybridMultilevel"/>
    <w:tmpl w:val="582C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B3D0A"/>
    <w:multiLevelType w:val="hybridMultilevel"/>
    <w:tmpl w:val="DF463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646CD"/>
    <w:multiLevelType w:val="hybridMultilevel"/>
    <w:tmpl w:val="A7D8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74CFA"/>
    <w:multiLevelType w:val="hybridMultilevel"/>
    <w:tmpl w:val="A454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A2100"/>
    <w:multiLevelType w:val="multilevel"/>
    <w:tmpl w:val="66D6A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4E"/>
    <w:rsid w:val="000001DA"/>
    <w:rsid w:val="00045542"/>
    <w:rsid w:val="000513EC"/>
    <w:rsid w:val="000931ED"/>
    <w:rsid w:val="000D070F"/>
    <w:rsid w:val="0012251D"/>
    <w:rsid w:val="00166CFB"/>
    <w:rsid w:val="001772D3"/>
    <w:rsid w:val="00187DB6"/>
    <w:rsid w:val="001D3DF1"/>
    <w:rsid w:val="001D4577"/>
    <w:rsid w:val="002333C3"/>
    <w:rsid w:val="00260A4F"/>
    <w:rsid w:val="00263E30"/>
    <w:rsid w:val="00293E33"/>
    <w:rsid w:val="002B690D"/>
    <w:rsid w:val="002D24A0"/>
    <w:rsid w:val="002D6887"/>
    <w:rsid w:val="002D6DD7"/>
    <w:rsid w:val="002E258D"/>
    <w:rsid w:val="002F3392"/>
    <w:rsid w:val="00307683"/>
    <w:rsid w:val="00336261"/>
    <w:rsid w:val="0034393B"/>
    <w:rsid w:val="0037726B"/>
    <w:rsid w:val="00381260"/>
    <w:rsid w:val="00386F7F"/>
    <w:rsid w:val="00396DB5"/>
    <w:rsid w:val="003A026F"/>
    <w:rsid w:val="003A461E"/>
    <w:rsid w:val="003A60D3"/>
    <w:rsid w:val="003B3EEB"/>
    <w:rsid w:val="00410202"/>
    <w:rsid w:val="00501065"/>
    <w:rsid w:val="00516261"/>
    <w:rsid w:val="00536D0D"/>
    <w:rsid w:val="00537DEB"/>
    <w:rsid w:val="00540B6C"/>
    <w:rsid w:val="00553648"/>
    <w:rsid w:val="00587E37"/>
    <w:rsid w:val="005A5494"/>
    <w:rsid w:val="005A5827"/>
    <w:rsid w:val="005D29CC"/>
    <w:rsid w:val="005D54EA"/>
    <w:rsid w:val="005E18A3"/>
    <w:rsid w:val="005E4637"/>
    <w:rsid w:val="005F194D"/>
    <w:rsid w:val="005F4B8C"/>
    <w:rsid w:val="005F6865"/>
    <w:rsid w:val="006029F3"/>
    <w:rsid w:val="0060666E"/>
    <w:rsid w:val="006110CB"/>
    <w:rsid w:val="00612DFC"/>
    <w:rsid w:val="00652CAE"/>
    <w:rsid w:val="00676EB3"/>
    <w:rsid w:val="006A0242"/>
    <w:rsid w:val="006A1367"/>
    <w:rsid w:val="006A6A39"/>
    <w:rsid w:val="006C69A8"/>
    <w:rsid w:val="006E317A"/>
    <w:rsid w:val="006E78D8"/>
    <w:rsid w:val="00720E03"/>
    <w:rsid w:val="00722C6D"/>
    <w:rsid w:val="007474AC"/>
    <w:rsid w:val="007A36FE"/>
    <w:rsid w:val="007A52DA"/>
    <w:rsid w:val="007B5816"/>
    <w:rsid w:val="0081673F"/>
    <w:rsid w:val="008210AF"/>
    <w:rsid w:val="00851967"/>
    <w:rsid w:val="00865B81"/>
    <w:rsid w:val="00884CFE"/>
    <w:rsid w:val="008876AA"/>
    <w:rsid w:val="008A5E9D"/>
    <w:rsid w:val="008C41D6"/>
    <w:rsid w:val="008E2515"/>
    <w:rsid w:val="008F7B92"/>
    <w:rsid w:val="00913F58"/>
    <w:rsid w:val="00985236"/>
    <w:rsid w:val="009C4ECB"/>
    <w:rsid w:val="00A06701"/>
    <w:rsid w:val="00A162B8"/>
    <w:rsid w:val="00A71103"/>
    <w:rsid w:val="00A90946"/>
    <w:rsid w:val="00A97124"/>
    <w:rsid w:val="00AA2493"/>
    <w:rsid w:val="00AA7616"/>
    <w:rsid w:val="00AC5F36"/>
    <w:rsid w:val="00AE0EAF"/>
    <w:rsid w:val="00AE3298"/>
    <w:rsid w:val="00AF74A0"/>
    <w:rsid w:val="00B06D13"/>
    <w:rsid w:val="00B17696"/>
    <w:rsid w:val="00B25BD2"/>
    <w:rsid w:val="00B41373"/>
    <w:rsid w:val="00B5195E"/>
    <w:rsid w:val="00B81320"/>
    <w:rsid w:val="00B938B1"/>
    <w:rsid w:val="00BA3E97"/>
    <w:rsid w:val="00BC3B4E"/>
    <w:rsid w:val="00BC6BCE"/>
    <w:rsid w:val="00BE3E70"/>
    <w:rsid w:val="00C371E4"/>
    <w:rsid w:val="00C46D1D"/>
    <w:rsid w:val="00C5183C"/>
    <w:rsid w:val="00C6177A"/>
    <w:rsid w:val="00CA05CA"/>
    <w:rsid w:val="00CA3D52"/>
    <w:rsid w:val="00CA5D04"/>
    <w:rsid w:val="00CA640C"/>
    <w:rsid w:val="00CA65EE"/>
    <w:rsid w:val="00CD18F5"/>
    <w:rsid w:val="00CE2C35"/>
    <w:rsid w:val="00D27D61"/>
    <w:rsid w:val="00D40324"/>
    <w:rsid w:val="00D54477"/>
    <w:rsid w:val="00DC2EC4"/>
    <w:rsid w:val="00DE267B"/>
    <w:rsid w:val="00DF77B0"/>
    <w:rsid w:val="00E042C7"/>
    <w:rsid w:val="00E2042F"/>
    <w:rsid w:val="00E2392A"/>
    <w:rsid w:val="00E24F4E"/>
    <w:rsid w:val="00E53D7D"/>
    <w:rsid w:val="00E64E10"/>
    <w:rsid w:val="00EC3B54"/>
    <w:rsid w:val="00F23048"/>
    <w:rsid w:val="00F25EA8"/>
    <w:rsid w:val="00F77C97"/>
    <w:rsid w:val="00F843F2"/>
    <w:rsid w:val="00FA69A1"/>
    <w:rsid w:val="00FC2BAA"/>
    <w:rsid w:val="00FD0E33"/>
    <w:rsid w:val="00FE2A5E"/>
    <w:rsid w:val="06C84C64"/>
    <w:rsid w:val="08641CC5"/>
    <w:rsid w:val="09248847"/>
    <w:rsid w:val="0FBE9C3E"/>
    <w:rsid w:val="115A6C9F"/>
    <w:rsid w:val="16BD5B46"/>
    <w:rsid w:val="18592BA7"/>
    <w:rsid w:val="1AF152DE"/>
    <w:rsid w:val="20B94062"/>
    <w:rsid w:val="23144E50"/>
    <w:rsid w:val="26D5AA1F"/>
    <w:rsid w:val="27BC22B7"/>
    <w:rsid w:val="28717A80"/>
    <w:rsid w:val="2A0D4AE1"/>
    <w:rsid w:val="2BECE341"/>
    <w:rsid w:val="39805870"/>
    <w:rsid w:val="42AE55D9"/>
    <w:rsid w:val="69E4E068"/>
    <w:rsid w:val="703AF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88801"/>
  <w15:chartTrackingRefBased/>
  <w15:docId w15:val="{6F29FB89-D243-4CB8-9E4C-2956CBF5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F4E"/>
    <w:pPr>
      <w:tabs>
        <w:tab w:val="center" w:pos="4513"/>
        <w:tab w:val="right" w:pos="9026"/>
      </w:tabs>
    </w:pPr>
  </w:style>
  <w:style w:type="character" w:customStyle="1" w:styleId="HeaderChar">
    <w:name w:val="Header Char"/>
    <w:basedOn w:val="DefaultParagraphFont"/>
    <w:link w:val="Header"/>
    <w:uiPriority w:val="99"/>
    <w:rsid w:val="00E24F4E"/>
  </w:style>
  <w:style w:type="paragraph" w:styleId="Footer">
    <w:name w:val="footer"/>
    <w:basedOn w:val="Normal"/>
    <w:link w:val="FooterChar"/>
    <w:uiPriority w:val="99"/>
    <w:unhideWhenUsed/>
    <w:rsid w:val="00E24F4E"/>
    <w:pPr>
      <w:tabs>
        <w:tab w:val="center" w:pos="4513"/>
        <w:tab w:val="right" w:pos="9026"/>
      </w:tabs>
    </w:pPr>
  </w:style>
  <w:style w:type="character" w:customStyle="1" w:styleId="FooterChar">
    <w:name w:val="Footer Char"/>
    <w:basedOn w:val="DefaultParagraphFont"/>
    <w:link w:val="Footer"/>
    <w:uiPriority w:val="99"/>
    <w:rsid w:val="00E24F4E"/>
  </w:style>
  <w:style w:type="paragraph" w:styleId="ListParagraph">
    <w:name w:val="List Paragraph"/>
    <w:basedOn w:val="Normal"/>
    <w:uiPriority w:val="34"/>
    <w:qFormat/>
    <w:rsid w:val="00E24F4E"/>
    <w:pPr>
      <w:ind w:left="720"/>
      <w:contextualSpacing/>
    </w:pPr>
  </w:style>
  <w:style w:type="character" w:styleId="Hyperlink">
    <w:name w:val="Hyperlink"/>
    <w:basedOn w:val="DefaultParagraphFont"/>
    <w:uiPriority w:val="99"/>
    <w:unhideWhenUsed/>
    <w:rsid w:val="00E24F4E"/>
    <w:rPr>
      <w:color w:val="0563C1" w:themeColor="hyperlink"/>
      <w:u w:val="single"/>
    </w:rPr>
  </w:style>
  <w:style w:type="paragraph" w:styleId="FootnoteText">
    <w:name w:val="footnote text"/>
    <w:basedOn w:val="Normal"/>
    <w:link w:val="FootnoteTextChar"/>
    <w:uiPriority w:val="99"/>
    <w:semiHidden/>
    <w:unhideWhenUsed/>
    <w:rsid w:val="00FD0E33"/>
    <w:rPr>
      <w:sz w:val="20"/>
      <w:szCs w:val="20"/>
    </w:rPr>
  </w:style>
  <w:style w:type="character" w:customStyle="1" w:styleId="FootnoteTextChar">
    <w:name w:val="Footnote Text Char"/>
    <w:basedOn w:val="DefaultParagraphFont"/>
    <w:link w:val="FootnoteText"/>
    <w:uiPriority w:val="99"/>
    <w:semiHidden/>
    <w:rsid w:val="00FD0E33"/>
    <w:rPr>
      <w:sz w:val="20"/>
      <w:szCs w:val="20"/>
    </w:rPr>
  </w:style>
  <w:style w:type="character" w:styleId="FootnoteReference">
    <w:name w:val="footnote reference"/>
    <w:basedOn w:val="DefaultParagraphFont"/>
    <w:uiPriority w:val="99"/>
    <w:semiHidden/>
    <w:unhideWhenUsed/>
    <w:rsid w:val="00FD0E33"/>
    <w:rPr>
      <w:vertAlign w:val="superscript"/>
    </w:rPr>
  </w:style>
  <w:style w:type="paragraph" w:styleId="Revision">
    <w:name w:val="Revision"/>
    <w:hidden/>
    <w:uiPriority w:val="99"/>
    <w:semiHidden/>
    <w:rsid w:val="006A6A39"/>
    <w:pPr>
      <w:spacing w:after="0" w:line="240" w:lineRule="auto"/>
    </w:pPr>
  </w:style>
  <w:style w:type="paragraph" w:styleId="BalloonText">
    <w:name w:val="Balloon Text"/>
    <w:basedOn w:val="Normal"/>
    <w:link w:val="BalloonTextChar"/>
    <w:uiPriority w:val="99"/>
    <w:semiHidden/>
    <w:unhideWhenUsed/>
    <w:rsid w:val="005D5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4EA"/>
    <w:rPr>
      <w:rFonts w:ascii="Segoe UI" w:hAnsi="Segoe UI" w:cs="Segoe UI"/>
      <w:sz w:val="18"/>
      <w:szCs w:val="18"/>
    </w:rPr>
  </w:style>
  <w:style w:type="table" w:styleId="TableGrid">
    <w:name w:val="Table Grid"/>
    <w:basedOn w:val="TableNormal"/>
    <w:uiPriority w:val="39"/>
    <w:rsid w:val="00000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FA69A1"/>
    <w:pPr>
      <w:spacing w:before="100" w:beforeAutospacing="1" w:after="100" w:afterAutospacing="1"/>
    </w:pPr>
    <w:rPr>
      <w:rFonts w:ascii="Times New Roman" w:hAnsi="Times New Roman" w:cs="Times New Roman"/>
      <w:sz w:val="24"/>
      <w:szCs w:val="24"/>
      <w:lang w:eastAsia="en-GB"/>
    </w:rPr>
  </w:style>
  <w:style w:type="character" w:customStyle="1" w:styleId="normaltextrun1">
    <w:name w:val="normaltextrun1"/>
    <w:basedOn w:val="DefaultParagraphFont"/>
    <w:rsid w:val="00FA69A1"/>
    <w:rPr>
      <w:rFonts w:ascii="Times New Roman" w:hAnsi="Times New Roman" w:cs="Times New Roman" w:hint="default"/>
    </w:rPr>
  </w:style>
  <w:style w:type="character" w:customStyle="1" w:styleId="xeop">
    <w:name w:val="x_eop"/>
    <w:basedOn w:val="DefaultParagraphFont"/>
    <w:rsid w:val="00FA69A1"/>
    <w:rPr>
      <w:rFonts w:ascii="Times New Roman" w:hAnsi="Times New Roman" w:cs="Times New Roman" w:hint="default"/>
    </w:rPr>
  </w:style>
  <w:style w:type="character" w:customStyle="1" w:styleId="xnormaltextrun1">
    <w:name w:val="x_normaltextrun1"/>
    <w:basedOn w:val="DefaultParagraphFont"/>
    <w:rsid w:val="00FA69A1"/>
    <w:rPr>
      <w:rFonts w:ascii="Times New Roman" w:hAnsi="Times New Roman" w:cs="Times New Roman" w:hint="default"/>
    </w:rPr>
  </w:style>
  <w:style w:type="character" w:customStyle="1" w:styleId="UnresolvedMention">
    <w:name w:val="Unresolved Mention"/>
    <w:basedOn w:val="DefaultParagraphFont"/>
    <w:uiPriority w:val="99"/>
    <w:semiHidden/>
    <w:unhideWhenUsed/>
    <w:rsid w:val="007A52D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8072">
      <w:bodyDiv w:val="1"/>
      <w:marLeft w:val="0"/>
      <w:marRight w:val="0"/>
      <w:marTop w:val="0"/>
      <w:marBottom w:val="0"/>
      <w:divBdr>
        <w:top w:val="none" w:sz="0" w:space="0" w:color="auto"/>
        <w:left w:val="none" w:sz="0" w:space="0" w:color="auto"/>
        <w:bottom w:val="none" w:sz="0" w:space="0" w:color="auto"/>
        <w:right w:val="none" w:sz="0" w:space="0" w:color="auto"/>
      </w:divBdr>
    </w:div>
    <w:div w:id="253171368">
      <w:bodyDiv w:val="1"/>
      <w:marLeft w:val="0"/>
      <w:marRight w:val="0"/>
      <w:marTop w:val="0"/>
      <w:marBottom w:val="0"/>
      <w:divBdr>
        <w:top w:val="none" w:sz="0" w:space="0" w:color="auto"/>
        <w:left w:val="none" w:sz="0" w:space="0" w:color="auto"/>
        <w:bottom w:val="none" w:sz="0" w:space="0" w:color="auto"/>
        <w:right w:val="none" w:sz="0" w:space="0" w:color="auto"/>
      </w:divBdr>
    </w:div>
    <w:div w:id="329647960">
      <w:bodyDiv w:val="1"/>
      <w:marLeft w:val="0"/>
      <w:marRight w:val="0"/>
      <w:marTop w:val="0"/>
      <w:marBottom w:val="0"/>
      <w:divBdr>
        <w:top w:val="none" w:sz="0" w:space="0" w:color="auto"/>
        <w:left w:val="none" w:sz="0" w:space="0" w:color="auto"/>
        <w:bottom w:val="none" w:sz="0" w:space="0" w:color="auto"/>
        <w:right w:val="none" w:sz="0" w:space="0" w:color="auto"/>
      </w:divBdr>
    </w:div>
    <w:div w:id="383067460">
      <w:bodyDiv w:val="1"/>
      <w:marLeft w:val="0"/>
      <w:marRight w:val="0"/>
      <w:marTop w:val="0"/>
      <w:marBottom w:val="0"/>
      <w:divBdr>
        <w:top w:val="none" w:sz="0" w:space="0" w:color="auto"/>
        <w:left w:val="none" w:sz="0" w:space="0" w:color="auto"/>
        <w:bottom w:val="none" w:sz="0" w:space="0" w:color="auto"/>
        <w:right w:val="none" w:sz="0" w:space="0" w:color="auto"/>
      </w:divBdr>
    </w:div>
    <w:div w:id="495849122">
      <w:bodyDiv w:val="1"/>
      <w:marLeft w:val="0"/>
      <w:marRight w:val="0"/>
      <w:marTop w:val="0"/>
      <w:marBottom w:val="0"/>
      <w:divBdr>
        <w:top w:val="none" w:sz="0" w:space="0" w:color="auto"/>
        <w:left w:val="none" w:sz="0" w:space="0" w:color="auto"/>
        <w:bottom w:val="none" w:sz="0" w:space="0" w:color="auto"/>
        <w:right w:val="none" w:sz="0" w:space="0" w:color="auto"/>
      </w:divBdr>
    </w:div>
    <w:div w:id="823543857">
      <w:bodyDiv w:val="1"/>
      <w:marLeft w:val="0"/>
      <w:marRight w:val="0"/>
      <w:marTop w:val="0"/>
      <w:marBottom w:val="0"/>
      <w:divBdr>
        <w:top w:val="none" w:sz="0" w:space="0" w:color="auto"/>
        <w:left w:val="none" w:sz="0" w:space="0" w:color="auto"/>
        <w:bottom w:val="none" w:sz="0" w:space="0" w:color="auto"/>
        <w:right w:val="none" w:sz="0" w:space="0" w:color="auto"/>
      </w:divBdr>
    </w:div>
    <w:div w:id="1029140427">
      <w:bodyDiv w:val="1"/>
      <w:marLeft w:val="0"/>
      <w:marRight w:val="0"/>
      <w:marTop w:val="0"/>
      <w:marBottom w:val="0"/>
      <w:divBdr>
        <w:top w:val="none" w:sz="0" w:space="0" w:color="auto"/>
        <w:left w:val="none" w:sz="0" w:space="0" w:color="auto"/>
        <w:bottom w:val="none" w:sz="0" w:space="0" w:color="auto"/>
        <w:right w:val="none" w:sz="0" w:space="0" w:color="auto"/>
      </w:divBdr>
    </w:div>
    <w:div w:id="16921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dchildpoverty.org.uk/wp-content/uploads/2022/07/Local-child-poverty-indicators-report-2022_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iateam@actionforchildre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03.safelinks.protection.outlook.com/?url=http%3A%2F%2Fwww.actionforchildren.org.uk%2F&amp;data=04%7C01%7CHuw.Beale%40actionforchildren.org.uk%7Cf8d8bf2195554e7e41d408da004d9d2f%7C472f2d2100a94fe28b1451e21d7e6f9f%7C0%7C0%7C637822630586731428%7CUnknown%7CTWFpbGZsb3d8eyJWIjoiMC4wLjAwMDAiLCJQIjoiV2luMzIiLCJBTiI6Ik1haWwiLCJXVCI6Mn0%3D%7C3000&amp;sdata=aNIfL5%2Fjf%2B168j%2BWwmbQSQN583JLqsdGl8H0jAGXICg%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wbeale@actionforchildren.org.uk" TargetMode="External"/><Relationship Id="rId5" Type="http://schemas.openxmlformats.org/officeDocument/2006/relationships/styles" Target="styles.xml"/><Relationship Id="rId15" Type="http://schemas.openxmlformats.org/officeDocument/2006/relationships/hyperlink" Target="https://www.gov.uk/government/statistics/households-below-average-income-for-financial-years-ending-1995-to-2021" TargetMode="External"/><Relationship Id="rId10" Type="http://schemas.openxmlformats.org/officeDocument/2006/relationships/hyperlink" Target="mailto:huw.beale@actionforchildren.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dchildpoverty.org.uk/wp-content/uploads/2022/07/Child-Poverty-AHC-estimates-2015-2021-FINAL.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B97CF811CF1845B0ADCEA1FEAE2E83" ma:contentTypeVersion="16" ma:contentTypeDescription="Create a new document." ma:contentTypeScope="" ma:versionID="794796e5e125f580a235ef12760a4727">
  <xsd:schema xmlns:xsd="http://www.w3.org/2001/XMLSchema" xmlns:xs="http://www.w3.org/2001/XMLSchema" xmlns:p="http://schemas.microsoft.com/office/2006/metadata/properties" xmlns:ns2="0537eb29-8cee-4ad6-afdc-6850087d984d" xmlns:ns3="8db3556b-0eeb-456b-967b-74ba89e1b7c2" xmlns:ns4="da12ce7f-923a-4bed-ad1e-c6405f0157d6" targetNamespace="http://schemas.microsoft.com/office/2006/metadata/properties" ma:root="true" ma:fieldsID="8357e48eda82bc7442b54f3b719fe40e" ns2:_="" ns3:_="" ns4:_="">
    <xsd:import namespace="0537eb29-8cee-4ad6-afdc-6850087d984d"/>
    <xsd:import namespace="8db3556b-0eeb-456b-967b-74ba89e1b7c2"/>
    <xsd:import namespace="da12ce7f-923a-4bed-ad1e-c6405f0157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7eb29-8cee-4ad6-afdc-6850087d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23003d-a8cc-49a5-ae1f-72ce8bda9e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b3556b-0eeb-456b-967b-74ba89e1b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2ce7f-923a-4bed-ad1e-c6405f0157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0d3c620-24a7-4444-ab57-5695be70012a}" ma:internalName="TaxCatchAll" ma:showField="CatchAllData" ma:web="da12ce7f-923a-4bed-ad1e-c6405f015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8A5D-3F97-4E6B-A952-7880F5BA91B0}">
  <ds:schemaRefs>
    <ds:schemaRef ds:uri="http://schemas.microsoft.com/sharepoint/v3/contenttype/forms"/>
  </ds:schemaRefs>
</ds:datastoreItem>
</file>

<file path=customXml/itemProps2.xml><?xml version="1.0" encoding="utf-8"?>
<ds:datastoreItem xmlns:ds="http://schemas.openxmlformats.org/officeDocument/2006/customXml" ds:itemID="{D5D3B032-2AA8-45EA-B1D5-BA6C3A6B0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7eb29-8cee-4ad6-afdc-6850087d984d"/>
    <ds:schemaRef ds:uri="8db3556b-0eeb-456b-967b-74ba89e1b7c2"/>
    <ds:schemaRef ds:uri="da12ce7f-923a-4bed-ad1e-c6405f015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36E26-B87D-4588-A7DD-2CA3A6DA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10458</CharactersWithSpaces>
  <SharedDoc>false</SharedDoc>
  <HLinks>
    <vt:vector size="54" baseType="variant">
      <vt:variant>
        <vt:i4>3866662</vt:i4>
      </vt:variant>
      <vt:variant>
        <vt:i4>24</vt:i4>
      </vt:variant>
      <vt:variant>
        <vt:i4>0</vt:i4>
      </vt:variant>
      <vt:variant>
        <vt:i4>5</vt:i4>
      </vt:variant>
      <vt:variant>
        <vt:lpwstr>https://eur03.safelinks.protection.outlook.com/?url=http%3A%2F%2Fwww.actionforchildren.org.uk%2F&amp;data=04%7C01%7CHuw.Beale%40actionforchildren.org.uk%7Cf8d8bf2195554e7e41d408da004d9d2f%7C472f2d2100a94fe28b1451e21d7e6f9f%7C0%7C0%7C637822630586731428%7CUnknown%7CTWFpbGZsb3d8eyJWIjoiMC4wLjAwMDAiLCJQIjoiV2luMzIiLCJBTiI6Ik1haWwiLCJXVCI6Mn0%3D%7C3000&amp;sdata=aNIfL5%2Fjf%2B168j%2BWwmbQSQN583JLqsdGl8H0jAGXICg%3D&amp;reserved=0</vt:lpwstr>
      </vt:variant>
      <vt:variant>
        <vt:lpwstr/>
      </vt:variant>
      <vt:variant>
        <vt:i4>1900560</vt:i4>
      </vt:variant>
      <vt:variant>
        <vt:i4>21</vt:i4>
      </vt:variant>
      <vt:variant>
        <vt:i4>0</vt:i4>
      </vt:variant>
      <vt:variant>
        <vt:i4>5</vt:i4>
      </vt:variant>
      <vt:variant>
        <vt:lpwstr>https://www.gov.uk/government/statistics/households-below-average-income-for-financial-years-ending-1995-to-2021</vt:lpwstr>
      </vt:variant>
      <vt:variant>
        <vt:lpwstr/>
      </vt:variant>
      <vt:variant>
        <vt:i4>393285</vt:i4>
      </vt:variant>
      <vt:variant>
        <vt:i4>18</vt:i4>
      </vt:variant>
      <vt:variant>
        <vt:i4>0</vt:i4>
      </vt:variant>
      <vt:variant>
        <vt:i4>5</vt:i4>
      </vt:variant>
      <vt:variant>
        <vt:lpwstr>https://www.gov.uk/government/statistics/households-below-average-income-for-financial-years-ending-1995-to-2021/households-below-average-income-an-analysis-of-the-income-distribution-fye-1995-to-fye-2021</vt:lpwstr>
      </vt:variant>
      <vt:variant>
        <vt:lpwstr/>
      </vt:variant>
      <vt:variant>
        <vt:i4>1900560</vt:i4>
      </vt:variant>
      <vt:variant>
        <vt:i4>15</vt:i4>
      </vt:variant>
      <vt:variant>
        <vt:i4>0</vt:i4>
      </vt:variant>
      <vt:variant>
        <vt:i4>5</vt:i4>
      </vt:variant>
      <vt:variant>
        <vt:lpwstr>https://www.gov.uk/government/statistics/households-below-average-income-for-financial-years-ending-1995-to-2021</vt:lpwstr>
      </vt:variant>
      <vt:variant>
        <vt:lpwstr/>
      </vt:variant>
      <vt:variant>
        <vt:i4>2949236</vt:i4>
      </vt:variant>
      <vt:variant>
        <vt:i4>12</vt:i4>
      </vt:variant>
      <vt:variant>
        <vt:i4>0</vt:i4>
      </vt:variant>
      <vt:variant>
        <vt:i4>5</vt:i4>
      </vt:variant>
      <vt:variant>
        <vt:lpwstr>https://www.gov.uk/government/statistics/children-in-low-income-families-local-area-statistics-2014-to-2021</vt:lpwstr>
      </vt:variant>
      <vt:variant>
        <vt:lpwstr/>
      </vt:variant>
      <vt:variant>
        <vt:i4>2293884</vt:i4>
      </vt:variant>
      <vt:variant>
        <vt:i4>9</vt:i4>
      </vt:variant>
      <vt:variant>
        <vt:i4>0</vt:i4>
      </vt:variant>
      <vt:variant>
        <vt:i4>5</vt:i4>
      </vt:variant>
      <vt:variant>
        <vt:lpwstr>https://we.tl/t-E8fOJUFnRm</vt:lpwstr>
      </vt:variant>
      <vt:variant>
        <vt:lpwstr/>
      </vt:variant>
      <vt:variant>
        <vt:i4>589921</vt:i4>
      </vt:variant>
      <vt:variant>
        <vt:i4>6</vt:i4>
      </vt:variant>
      <vt:variant>
        <vt:i4>0</vt:i4>
      </vt:variant>
      <vt:variant>
        <vt:i4>5</vt:i4>
      </vt:variant>
      <vt:variant>
        <vt:lpwstr>mailto:mediateam@actionforchildren.org.uk</vt:lpwstr>
      </vt:variant>
      <vt:variant>
        <vt:lpwstr/>
      </vt:variant>
      <vt:variant>
        <vt:i4>2949202</vt:i4>
      </vt:variant>
      <vt:variant>
        <vt:i4>3</vt:i4>
      </vt:variant>
      <vt:variant>
        <vt:i4>0</vt:i4>
      </vt:variant>
      <vt:variant>
        <vt:i4>5</vt:i4>
      </vt:variant>
      <vt:variant>
        <vt:lpwstr>mailto:huwbeale@actionforchildren.org.uk</vt:lpwstr>
      </vt:variant>
      <vt:variant>
        <vt:lpwstr/>
      </vt:variant>
      <vt:variant>
        <vt:i4>1048618</vt:i4>
      </vt:variant>
      <vt:variant>
        <vt:i4>0</vt:i4>
      </vt:variant>
      <vt:variant>
        <vt:i4>0</vt:i4>
      </vt:variant>
      <vt:variant>
        <vt:i4>5</vt:i4>
      </vt:variant>
      <vt:variant>
        <vt:lpwstr>mailto:huw.beale@actionforchildren.org.uk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Walters</dc:creator>
  <cp:keywords/>
  <dc:description/>
  <cp:lastModifiedBy>Rachel Walters</cp:lastModifiedBy>
  <cp:revision>2</cp:revision>
  <dcterms:created xsi:type="dcterms:W3CDTF">2022-07-12T13:01:00Z</dcterms:created>
  <dcterms:modified xsi:type="dcterms:W3CDTF">2022-07-12T13:01:00Z</dcterms:modified>
</cp:coreProperties>
</file>