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9A79" w14:textId="59DE0ED7" w:rsidR="000D59CE" w:rsidRPr="00B3721E" w:rsidRDefault="00AB3781" w:rsidP="61096C0A">
      <w:pPr>
        <w:jc w:val="center"/>
        <w:rPr>
          <w:rFonts w:eastAsiaTheme="minorEastAsia"/>
          <w:b/>
          <w:bCs/>
          <w:sz w:val="24"/>
          <w:szCs w:val="24"/>
        </w:rPr>
      </w:pPr>
      <w:r w:rsidRPr="61096C0A">
        <w:rPr>
          <w:rFonts w:eastAsiaTheme="minorEastAsia"/>
          <w:b/>
          <w:bCs/>
          <w:sz w:val="24"/>
          <w:szCs w:val="24"/>
        </w:rPr>
        <w:t xml:space="preserve">“DEVASTATING” FIGURES SHOW MORE THAN ONE IN THREE WELSH CHILDREN TRAPPED BELOW THE POVERTY LINE IN THE FIRST YEAR OF THE PANDEMIC </w:t>
      </w:r>
      <w:r w:rsidR="000D59CE" w:rsidRPr="61096C0A">
        <w:rPr>
          <w:rFonts w:eastAsiaTheme="minorEastAsia"/>
          <w:b/>
          <w:bCs/>
          <w:sz w:val="24"/>
          <w:szCs w:val="24"/>
        </w:rPr>
        <w:t>– NEW DATA</w:t>
      </w:r>
    </w:p>
    <w:p w14:paraId="7682F6EF" w14:textId="7636A036" w:rsidR="000D59CE" w:rsidRPr="00FE20A0" w:rsidRDefault="000D59CE" w:rsidP="61096C0A">
      <w:pPr>
        <w:jc w:val="center"/>
        <w:rPr>
          <w:rFonts w:eastAsiaTheme="minorEastAsia"/>
          <w:b/>
          <w:bCs/>
          <w:color w:val="FF0000"/>
          <w:sz w:val="28"/>
          <w:szCs w:val="28"/>
        </w:rPr>
      </w:pPr>
      <w:r w:rsidRPr="00FE20A0">
        <w:rPr>
          <w:rFonts w:eastAsiaTheme="minorEastAsia"/>
          <w:b/>
          <w:bCs/>
          <w:color w:val="FF0000"/>
          <w:sz w:val="28"/>
          <w:szCs w:val="28"/>
        </w:rPr>
        <w:t>Embargoed until: 00:01 12</w:t>
      </w:r>
      <w:r w:rsidRPr="00FE20A0">
        <w:rPr>
          <w:rFonts w:eastAsiaTheme="minorEastAsia"/>
          <w:b/>
          <w:bCs/>
          <w:color w:val="FF0000"/>
          <w:sz w:val="28"/>
          <w:szCs w:val="28"/>
          <w:vertAlign w:val="superscript"/>
        </w:rPr>
        <w:t>th</w:t>
      </w:r>
      <w:r w:rsidRPr="00FE20A0">
        <w:rPr>
          <w:rFonts w:eastAsiaTheme="minorEastAsia"/>
          <w:b/>
          <w:bCs/>
          <w:color w:val="FF0000"/>
          <w:sz w:val="28"/>
          <w:szCs w:val="28"/>
        </w:rPr>
        <w:t xml:space="preserve"> July 2022</w:t>
      </w:r>
    </w:p>
    <w:p w14:paraId="3A347CC5" w14:textId="77777777" w:rsidR="00FE20A0" w:rsidRDefault="000D59CE" w:rsidP="00FE20A0">
      <w:pPr>
        <w:spacing w:after="0" w:line="240" w:lineRule="auto"/>
        <w:jc w:val="center"/>
        <w:rPr>
          <w:rFonts w:eastAsiaTheme="minorEastAsia"/>
          <w:b/>
          <w:bCs/>
          <w:sz w:val="24"/>
          <w:szCs w:val="24"/>
        </w:rPr>
      </w:pPr>
      <w:r w:rsidRPr="61096C0A">
        <w:rPr>
          <w:rFonts w:eastAsiaTheme="minorEastAsia"/>
          <w:b/>
          <w:bCs/>
          <w:sz w:val="24"/>
          <w:szCs w:val="24"/>
        </w:rPr>
        <w:t xml:space="preserve">Interviews, further briefing and stats available. </w:t>
      </w:r>
    </w:p>
    <w:p w14:paraId="6049A9B6" w14:textId="2E0C3AE5" w:rsidR="00E919B6" w:rsidRDefault="000D59CE" w:rsidP="00FE20A0">
      <w:pPr>
        <w:spacing w:after="0" w:line="240" w:lineRule="auto"/>
        <w:jc w:val="center"/>
        <w:rPr>
          <w:rFonts w:eastAsiaTheme="minorEastAsia"/>
          <w:b/>
          <w:bCs/>
          <w:color w:val="000000" w:themeColor="text1"/>
          <w:sz w:val="24"/>
          <w:szCs w:val="24"/>
        </w:rPr>
      </w:pPr>
      <w:r w:rsidRPr="00FE20A0">
        <w:rPr>
          <w:rFonts w:eastAsiaTheme="minorEastAsia"/>
          <w:b/>
          <w:bCs/>
          <w:sz w:val="24"/>
          <w:szCs w:val="24"/>
        </w:rPr>
        <w:t>Images available</w:t>
      </w:r>
      <w:r w:rsidRPr="00FE20A0">
        <w:rPr>
          <w:rFonts w:eastAsiaTheme="minorEastAsia"/>
          <w:b/>
          <w:bCs/>
          <w:color w:val="000000" w:themeColor="text1"/>
          <w:sz w:val="24"/>
          <w:szCs w:val="24"/>
        </w:rPr>
        <w:t xml:space="preserve"> </w:t>
      </w:r>
      <w:hyperlink r:id="rId8" w:history="1">
        <w:r w:rsidR="00E919B6" w:rsidRPr="00FE20A0">
          <w:rPr>
            <w:rStyle w:val="Hyperlink"/>
            <w:rFonts w:eastAsiaTheme="minorEastAsia"/>
            <w:b/>
            <w:bCs/>
            <w:sz w:val="24"/>
            <w:szCs w:val="24"/>
          </w:rPr>
          <w:t>here</w:t>
        </w:r>
      </w:hyperlink>
      <w:r w:rsidR="00FE20A0" w:rsidRPr="00FE20A0">
        <w:rPr>
          <w:rFonts w:eastAsiaTheme="minorEastAsia"/>
          <w:b/>
          <w:bCs/>
          <w:color w:val="000000" w:themeColor="text1"/>
          <w:sz w:val="24"/>
          <w:szCs w:val="24"/>
        </w:rPr>
        <w:t>. Please credit Save the Children UK</w:t>
      </w:r>
    </w:p>
    <w:p w14:paraId="263C39A9" w14:textId="77777777" w:rsidR="00FE20A0" w:rsidRPr="00FE20A0" w:rsidRDefault="00FE20A0" w:rsidP="00FE20A0">
      <w:pPr>
        <w:spacing w:after="0" w:line="240" w:lineRule="auto"/>
        <w:jc w:val="center"/>
        <w:rPr>
          <w:rFonts w:eastAsiaTheme="minorEastAsia"/>
          <w:b/>
          <w:bCs/>
          <w:color w:val="000000" w:themeColor="text1"/>
          <w:sz w:val="24"/>
          <w:szCs w:val="24"/>
        </w:rPr>
      </w:pPr>
    </w:p>
    <w:p w14:paraId="00F634A8" w14:textId="179A1618" w:rsidR="000D59CE" w:rsidRDefault="00561176" w:rsidP="61096C0A">
      <w:pPr>
        <w:pStyle w:val="ListParagraph"/>
        <w:numPr>
          <w:ilvl w:val="0"/>
          <w:numId w:val="6"/>
        </w:numPr>
        <w:rPr>
          <w:rFonts w:eastAsiaTheme="minorEastAsia"/>
          <w:b/>
          <w:bCs/>
          <w:sz w:val="24"/>
          <w:szCs w:val="24"/>
        </w:rPr>
      </w:pPr>
      <w:r w:rsidRPr="61096C0A">
        <w:rPr>
          <w:rFonts w:eastAsiaTheme="minorEastAsia"/>
          <w:b/>
          <w:bCs/>
          <w:sz w:val="24"/>
          <w:szCs w:val="24"/>
        </w:rPr>
        <w:t>More than</w:t>
      </w:r>
      <w:r w:rsidR="000D59CE" w:rsidRPr="61096C0A">
        <w:rPr>
          <w:rFonts w:eastAsiaTheme="minorEastAsia"/>
          <w:b/>
          <w:bCs/>
          <w:sz w:val="24"/>
          <w:szCs w:val="24"/>
        </w:rPr>
        <w:t xml:space="preserve"> one in three children across Wales still living in poverty, despite temporary </w:t>
      </w:r>
      <w:r w:rsidRPr="61096C0A">
        <w:rPr>
          <w:rFonts w:eastAsiaTheme="minorEastAsia"/>
          <w:b/>
          <w:bCs/>
          <w:sz w:val="24"/>
          <w:szCs w:val="24"/>
        </w:rPr>
        <w:t>increase in universal credit</w:t>
      </w:r>
      <w:r w:rsidR="000D59CE" w:rsidRPr="61096C0A">
        <w:rPr>
          <w:rFonts w:eastAsiaTheme="minorEastAsia"/>
          <w:b/>
          <w:bCs/>
          <w:sz w:val="24"/>
          <w:szCs w:val="24"/>
        </w:rPr>
        <w:t xml:space="preserve"> during pandemic</w:t>
      </w:r>
    </w:p>
    <w:p w14:paraId="7B28D620" w14:textId="466E10E9" w:rsidR="61096C0A" w:rsidRDefault="61096C0A" w:rsidP="61096C0A">
      <w:pPr>
        <w:pStyle w:val="ListParagraph"/>
        <w:numPr>
          <w:ilvl w:val="0"/>
          <w:numId w:val="6"/>
        </w:numPr>
        <w:rPr>
          <w:b/>
          <w:bCs/>
          <w:sz w:val="24"/>
          <w:szCs w:val="24"/>
        </w:rPr>
      </w:pPr>
      <w:r w:rsidRPr="61096C0A">
        <w:rPr>
          <w:rFonts w:eastAsiaTheme="minorEastAsia"/>
          <w:b/>
          <w:bCs/>
          <w:sz w:val="24"/>
          <w:szCs w:val="24"/>
        </w:rPr>
        <w:t>Newport now the local authority with the highest child poverty rate in Wales</w:t>
      </w:r>
    </w:p>
    <w:p w14:paraId="689EE35B" w14:textId="77777777" w:rsidR="000D59CE" w:rsidRPr="00CB1877" w:rsidRDefault="000D59CE" w:rsidP="61096C0A">
      <w:pPr>
        <w:pStyle w:val="ListParagraph"/>
        <w:numPr>
          <w:ilvl w:val="0"/>
          <w:numId w:val="6"/>
        </w:numPr>
        <w:rPr>
          <w:rFonts w:eastAsiaTheme="minorEastAsia"/>
          <w:b/>
          <w:bCs/>
          <w:sz w:val="24"/>
          <w:szCs w:val="24"/>
        </w:rPr>
      </w:pPr>
      <w:r w:rsidRPr="61096C0A">
        <w:rPr>
          <w:rFonts w:eastAsiaTheme="minorEastAsia"/>
          <w:b/>
          <w:bCs/>
          <w:sz w:val="24"/>
          <w:szCs w:val="24"/>
        </w:rPr>
        <w:t>Urgent action still needed at every level of government, say campaigners</w:t>
      </w:r>
    </w:p>
    <w:p w14:paraId="32850086" w14:textId="77777777" w:rsidR="000D59CE" w:rsidRPr="00CB1877" w:rsidRDefault="000D59CE" w:rsidP="61096C0A">
      <w:pPr>
        <w:pStyle w:val="ListParagraph"/>
        <w:numPr>
          <w:ilvl w:val="0"/>
          <w:numId w:val="6"/>
        </w:numPr>
        <w:rPr>
          <w:rFonts w:eastAsiaTheme="minorEastAsia"/>
          <w:b/>
          <w:bCs/>
          <w:sz w:val="24"/>
          <w:szCs w:val="24"/>
        </w:rPr>
      </w:pPr>
      <w:r w:rsidRPr="61096C0A">
        <w:rPr>
          <w:rFonts w:eastAsiaTheme="minorEastAsia"/>
          <w:b/>
          <w:bCs/>
          <w:sz w:val="24"/>
          <w:szCs w:val="24"/>
        </w:rPr>
        <w:t xml:space="preserve">Councillors across </w:t>
      </w:r>
      <w:r w:rsidR="3D0F0DE2" w:rsidRPr="61096C0A">
        <w:rPr>
          <w:rFonts w:eastAsiaTheme="minorEastAsia"/>
          <w:b/>
          <w:bCs/>
          <w:sz w:val="24"/>
          <w:szCs w:val="24"/>
        </w:rPr>
        <w:t>Wales</w:t>
      </w:r>
      <w:r w:rsidRPr="61096C0A">
        <w:rPr>
          <w:rFonts w:eastAsiaTheme="minorEastAsia"/>
          <w:b/>
          <w:bCs/>
          <w:sz w:val="24"/>
          <w:szCs w:val="24"/>
        </w:rPr>
        <w:t xml:space="preserve"> urged to use local powers to maximise family incomes and reduce costs </w:t>
      </w:r>
    </w:p>
    <w:p w14:paraId="3371D651" w14:textId="400CB9D0" w:rsidR="000D59CE" w:rsidRPr="00CB1877" w:rsidRDefault="3D0F0DE2" w:rsidP="61096C0A">
      <w:pPr>
        <w:pStyle w:val="ListParagraph"/>
        <w:numPr>
          <w:ilvl w:val="0"/>
          <w:numId w:val="6"/>
        </w:numPr>
        <w:rPr>
          <w:rFonts w:eastAsiaTheme="minorEastAsia"/>
          <w:b/>
          <w:bCs/>
          <w:sz w:val="24"/>
          <w:szCs w:val="24"/>
        </w:rPr>
      </w:pPr>
      <w:r w:rsidRPr="61096C0A">
        <w:rPr>
          <w:rFonts w:eastAsiaTheme="minorEastAsia"/>
          <w:b/>
          <w:bCs/>
          <w:sz w:val="24"/>
          <w:szCs w:val="24"/>
        </w:rPr>
        <w:t xml:space="preserve">Welsh </w:t>
      </w:r>
      <w:r w:rsidR="000D59CE" w:rsidRPr="61096C0A">
        <w:rPr>
          <w:rFonts w:eastAsiaTheme="minorEastAsia"/>
          <w:b/>
          <w:bCs/>
          <w:sz w:val="24"/>
          <w:szCs w:val="24"/>
        </w:rPr>
        <w:t xml:space="preserve">local authority and constituency data available below </w:t>
      </w:r>
    </w:p>
    <w:p w14:paraId="3137BFC3" w14:textId="222FCB55" w:rsidR="000D59CE" w:rsidRDefault="000D59CE" w:rsidP="61096C0A">
      <w:pPr>
        <w:rPr>
          <w:rFonts w:eastAsiaTheme="minorEastAsia"/>
          <w:sz w:val="24"/>
          <w:szCs w:val="24"/>
        </w:rPr>
      </w:pPr>
      <w:r w:rsidRPr="61096C0A">
        <w:rPr>
          <w:rFonts w:eastAsiaTheme="minorEastAsia"/>
          <w:sz w:val="24"/>
          <w:szCs w:val="24"/>
        </w:rPr>
        <w:t>More than one in three children living in Wales were trapped below the poverty line during the first year of the Covid pandemic</w:t>
      </w:r>
      <w:r w:rsidR="64D42337" w:rsidRPr="61096C0A">
        <w:rPr>
          <w:rFonts w:eastAsiaTheme="minorEastAsia"/>
          <w:sz w:val="24"/>
          <w:szCs w:val="24"/>
        </w:rPr>
        <w:t>, according to new estimates published today by the End Child Poverty coalition</w:t>
      </w:r>
      <w:r w:rsidR="78FDBD76" w:rsidRPr="61096C0A">
        <w:rPr>
          <w:rFonts w:eastAsiaTheme="minorEastAsia"/>
          <w:sz w:val="24"/>
          <w:szCs w:val="24"/>
        </w:rPr>
        <w:t>. Even when</w:t>
      </w:r>
      <w:r w:rsidRPr="61096C0A">
        <w:rPr>
          <w:rFonts w:eastAsiaTheme="minorEastAsia"/>
          <w:sz w:val="24"/>
          <w:szCs w:val="24"/>
        </w:rPr>
        <w:t xml:space="preserve"> families across the UK </w:t>
      </w:r>
      <w:r w:rsidR="78FDBD76" w:rsidRPr="61096C0A">
        <w:rPr>
          <w:rFonts w:eastAsiaTheme="minorEastAsia"/>
          <w:sz w:val="24"/>
          <w:szCs w:val="24"/>
        </w:rPr>
        <w:t>benefited</w:t>
      </w:r>
      <w:r w:rsidRPr="61096C0A">
        <w:rPr>
          <w:rFonts w:eastAsiaTheme="minorEastAsia"/>
          <w:sz w:val="24"/>
          <w:szCs w:val="24"/>
        </w:rPr>
        <w:t xml:space="preserve"> </w:t>
      </w:r>
      <w:r w:rsidR="78FDBD76" w:rsidRPr="61096C0A">
        <w:rPr>
          <w:rFonts w:eastAsiaTheme="minorEastAsia"/>
          <w:sz w:val="24"/>
          <w:szCs w:val="24"/>
        </w:rPr>
        <w:t xml:space="preserve">from </w:t>
      </w:r>
      <w:r w:rsidR="68538FAB" w:rsidRPr="61096C0A">
        <w:rPr>
          <w:rFonts w:eastAsiaTheme="minorEastAsia"/>
          <w:sz w:val="24"/>
          <w:szCs w:val="24"/>
        </w:rPr>
        <w:t>a</w:t>
      </w:r>
      <w:r w:rsidR="78FDBD76" w:rsidRPr="61096C0A">
        <w:rPr>
          <w:rFonts w:eastAsiaTheme="minorEastAsia"/>
          <w:sz w:val="24"/>
          <w:szCs w:val="24"/>
        </w:rPr>
        <w:t xml:space="preserve"> temporary</w:t>
      </w:r>
      <w:r w:rsidRPr="61096C0A">
        <w:rPr>
          <w:rFonts w:eastAsiaTheme="minorEastAsia"/>
          <w:sz w:val="24"/>
          <w:szCs w:val="24"/>
        </w:rPr>
        <w:t xml:space="preserve"> increase to universal credit, child poverty rates in Wales remained stubbornly high.</w:t>
      </w:r>
      <w:r w:rsidR="3D0F0DE2" w:rsidRPr="61096C0A">
        <w:rPr>
          <w:rFonts w:eastAsiaTheme="minorEastAsia"/>
          <w:sz w:val="24"/>
          <w:szCs w:val="24"/>
        </w:rPr>
        <w:t xml:space="preserve"> </w:t>
      </w:r>
    </w:p>
    <w:p w14:paraId="4352721C" w14:textId="70AC141B" w:rsidR="7A88E803" w:rsidRDefault="7A88E803" w:rsidP="61096C0A">
      <w:pPr>
        <w:rPr>
          <w:rFonts w:eastAsiaTheme="minorEastAsia"/>
          <w:color w:val="000000" w:themeColor="text1"/>
          <w:sz w:val="24"/>
          <w:szCs w:val="24"/>
        </w:rPr>
      </w:pPr>
      <w:r w:rsidRPr="61096C0A">
        <w:rPr>
          <w:rFonts w:eastAsiaTheme="minorEastAsia"/>
          <w:sz w:val="24"/>
          <w:szCs w:val="24"/>
        </w:rPr>
        <w:t>M</w:t>
      </w:r>
      <w:r w:rsidR="000D59CE" w:rsidRPr="61096C0A">
        <w:rPr>
          <w:rFonts w:eastAsiaTheme="minorEastAsia"/>
          <w:sz w:val="24"/>
          <w:szCs w:val="24"/>
        </w:rPr>
        <w:t xml:space="preserve">embers of the End Child Poverty coalition in </w:t>
      </w:r>
      <w:r w:rsidRPr="61096C0A">
        <w:rPr>
          <w:rFonts w:eastAsiaTheme="minorEastAsia"/>
          <w:sz w:val="24"/>
          <w:szCs w:val="24"/>
        </w:rPr>
        <w:t>Wales</w:t>
      </w:r>
      <w:r w:rsidR="000D59CE" w:rsidRPr="61096C0A">
        <w:rPr>
          <w:rFonts w:eastAsiaTheme="minorEastAsia"/>
          <w:sz w:val="24"/>
          <w:szCs w:val="24"/>
        </w:rPr>
        <w:t xml:space="preserve"> - including </w:t>
      </w:r>
      <w:r w:rsidRPr="61096C0A">
        <w:rPr>
          <w:rFonts w:eastAsiaTheme="minorEastAsia"/>
          <w:sz w:val="24"/>
          <w:szCs w:val="24"/>
        </w:rPr>
        <w:t xml:space="preserve">Child Poverty Action Group, </w:t>
      </w:r>
      <w:r w:rsidR="000D59CE" w:rsidRPr="61096C0A">
        <w:rPr>
          <w:rFonts w:eastAsiaTheme="minorEastAsia"/>
          <w:sz w:val="24"/>
          <w:szCs w:val="24"/>
        </w:rPr>
        <w:t>Save the Children</w:t>
      </w:r>
      <w:r w:rsidRPr="61096C0A">
        <w:rPr>
          <w:rFonts w:eastAsiaTheme="minorEastAsia"/>
          <w:sz w:val="24"/>
          <w:szCs w:val="24"/>
        </w:rPr>
        <w:t xml:space="preserve"> and Children in Wales</w:t>
      </w:r>
      <w:r w:rsidR="000D59CE" w:rsidRPr="61096C0A">
        <w:rPr>
          <w:rFonts w:eastAsiaTheme="minorEastAsia"/>
          <w:sz w:val="24"/>
          <w:szCs w:val="24"/>
        </w:rPr>
        <w:t xml:space="preserve"> - </w:t>
      </w:r>
      <w:r w:rsidRPr="61096C0A">
        <w:rPr>
          <w:rFonts w:eastAsiaTheme="minorEastAsia"/>
          <w:sz w:val="24"/>
          <w:szCs w:val="24"/>
        </w:rPr>
        <w:t>are</w:t>
      </w:r>
      <w:r w:rsidR="000D59CE" w:rsidRPr="61096C0A">
        <w:rPr>
          <w:rFonts w:eastAsiaTheme="minorEastAsia"/>
          <w:sz w:val="24"/>
          <w:szCs w:val="24"/>
        </w:rPr>
        <w:t xml:space="preserve"> calling on the UK government to ensure benefits </w:t>
      </w:r>
      <w:r w:rsidR="6B232394" w:rsidRPr="61096C0A">
        <w:rPr>
          <w:rFonts w:eastAsiaTheme="minorEastAsia"/>
          <w:sz w:val="24"/>
          <w:szCs w:val="24"/>
        </w:rPr>
        <w:t xml:space="preserve">permanently </w:t>
      </w:r>
      <w:r w:rsidR="6B232394" w:rsidRPr="61096C0A">
        <w:rPr>
          <w:rFonts w:eastAsiaTheme="minorEastAsia"/>
          <w:color w:val="000000" w:themeColor="text1"/>
          <w:sz w:val="24"/>
          <w:szCs w:val="24"/>
        </w:rPr>
        <w:t>keep pace with inflation</w:t>
      </w:r>
      <w:r w:rsidR="000D59CE" w:rsidRPr="61096C0A">
        <w:rPr>
          <w:rFonts w:eastAsiaTheme="minorEastAsia"/>
          <w:color w:val="000000" w:themeColor="text1"/>
          <w:sz w:val="24"/>
          <w:szCs w:val="24"/>
        </w:rPr>
        <w:t>, not just through the one-off measures announced by the former Chancellor in May.</w:t>
      </w:r>
      <w:r w:rsidR="6B232394" w:rsidRPr="61096C0A">
        <w:rPr>
          <w:rFonts w:eastAsiaTheme="minorEastAsia"/>
          <w:color w:val="000000" w:themeColor="text1"/>
          <w:sz w:val="24"/>
          <w:szCs w:val="24"/>
        </w:rPr>
        <w:t xml:space="preserve"> They are also calling on the Welsh Government to implement a new child poverty strategy and delivery plan as a matter of urgency.</w:t>
      </w:r>
    </w:p>
    <w:p w14:paraId="257FD019" w14:textId="0FACCE43" w:rsidR="000D59CE" w:rsidRDefault="000D59CE" w:rsidP="61096C0A">
      <w:pPr>
        <w:rPr>
          <w:rFonts w:eastAsiaTheme="minorEastAsia"/>
          <w:sz w:val="24"/>
          <w:szCs w:val="24"/>
        </w:rPr>
      </w:pPr>
      <w:r w:rsidRPr="61096C0A">
        <w:rPr>
          <w:rFonts w:eastAsiaTheme="minorEastAsia"/>
          <w:sz w:val="24"/>
          <w:szCs w:val="24"/>
        </w:rPr>
        <w:t>The new research by Loughborough University, on behalf of the End Child Poverty coalition, shows that the headline rate of child poverty across the UK fell during 2020/21</w:t>
      </w:r>
      <w:r w:rsidR="7A88E803" w:rsidRPr="61096C0A">
        <w:rPr>
          <w:rFonts w:eastAsiaTheme="minorEastAsia"/>
          <w:sz w:val="24"/>
          <w:szCs w:val="24"/>
        </w:rPr>
        <w:t>, primarily</w:t>
      </w:r>
      <w:r w:rsidRPr="61096C0A">
        <w:rPr>
          <w:rFonts w:eastAsiaTheme="minorEastAsia"/>
          <w:sz w:val="24"/>
          <w:szCs w:val="24"/>
        </w:rPr>
        <w:t xml:space="preserve"> as a result of the temporary £20 a week uplift to universal credit brought in during the pandemic. </w:t>
      </w:r>
      <w:r w:rsidR="18B7BB37" w:rsidRPr="61096C0A">
        <w:rPr>
          <w:rFonts w:eastAsiaTheme="minorEastAsia"/>
          <w:sz w:val="24"/>
          <w:szCs w:val="24"/>
        </w:rPr>
        <w:t>However,</w:t>
      </w:r>
      <w:r w:rsidRPr="61096C0A">
        <w:rPr>
          <w:rFonts w:eastAsiaTheme="minorEastAsia"/>
          <w:sz w:val="24"/>
          <w:szCs w:val="24"/>
        </w:rPr>
        <w:t xml:space="preserve"> most local authorities in Wales continued to experience high rates of child poverty. Areas </w:t>
      </w:r>
      <w:r w:rsidR="4B526069" w:rsidRPr="61096C0A">
        <w:rPr>
          <w:rFonts w:eastAsiaTheme="minorEastAsia"/>
          <w:sz w:val="24"/>
          <w:szCs w:val="24"/>
        </w:rPr>
        <w:t>that were hit by the sharpest increases in unemployment and economic inactivity at the start of the pandemic are also those areas which top the table in terms of child poverty rates, once housing costs are taken into account</w:t>
      </w:r>
    </w:p>
    <w:p w14:paraId="335F075B" w14:textId="51187EEB" w:rsidR="000D59CE" w:rsidRDefault="0A179335" w:rsidP="61096C0A">
      <w:pPr>
        <w:rPr>
          <w:rFonts w:eastAsiaTheme="minorEastAsia"/>
          <w:sz w:val="24"/>
          <w:szCs w:val="24"/>
        </w:rPr>
      </w:pPr>
      <w:r w:rsidRPr="61096C0A">
        <w:rPr>
          <w:rFonts w:eastAsiaTheme="minorEastAsia"/>
          <w:sz w:val="24"/>
          <w:szCs w:val="24"/>
        </w:rPr>
        <w:t>The new research adjusts local area statistics from the Department for Work and Pensions to take account of different housing costs across Wales, giving a more accurate reflection of the money families have to make ends meet. The estimates show child poverty is consistently high across all loca</w:t>
      </w:r>
      <w:r w:rsidR="4695D068" w:rsidRPr="61096C0A">
        <w:rPr>
          <w:rFonts w:eastAsiaTheme="minorEastAsia"/>
          <w:sz w:val="24"/>
          <w:szCs w:val="24"/>
        </w:rPr>
        <w:t>l authorities in Wales, ranging from 27% in Monmouthshire to over 36% in Newport and Cardiff.</w:t>
      </w:r>
      <w:r w:rsidR="6B232394" w:rsidRPr="61096C0A">
        <w:rPr>
          <w:rFonts w:eastAsiaTheme="minorEastAsia"/>
          <w:sz w:val="24"/>
          <w:szCs w:val="24"/>
        </w:rPr>
        <w:t xml:space="preserve"> More than a quarter of all children</w:t>
      </w:r>
      <w:r w:rsidR="18B7BB37" w:rsidRPr="61096C0A">
        <w:rPr>
          <w:rFonts w:eastAsiaTheme="minorEastAsia"/>
          <w:sz w:val="24"/>
          <w:szCs w:val="24"/>
        </w:rPr>
        <w:t xml:space="preserve"> in every Welsh local authority now live below the poverty line. </w:t>
      </w:r>
    </w:p>
    <w:p w14:paraId="033F1938" w14:textId="7FBDF92E" w:rsidR="61096C0A" w:rsidRDefault="61096C0A" w:rsidP="61096C0A">
      <w:pPr>
        <w:rPr>
          <w:rFonts w:eastAsiaTheme="minorEastAsia"/>
          <w:sz w:val="24"/>
          <w:szCs w:val="24"/>
        </w:rPr>
      </w:pPr>
      <w:r w:rsidRPr="61096C0A">
        <w:rPr>
          <w:rFonts w:eastAsiaTheme="minorEastAsia"/>
          <w:sz w:val="24"/>
          <w:szCs w:val="24"/>
        </w:rPr>
        <w:t xml:space="preserve">The UK Government has since decided to cut universal credit by £1040 a year, meaning many of the children who were lifted out of poverty by the temporary increase will also have been forced back over the brink into poverty. As the spiralling cost of living squeezes incomes even harder, organisations warn that many more children in Wales face going without everything they need to have a happy and healthy childhood. </w:t>
      </w:r>
    </w:p>
    <w:p w14:paraId="2941450B" w14:textId="67BCCB1E" w:rsidR="61096C0A" w:rsidRDefault="61096C0A" w:rsidP="61096C0A">
      <w:pPr>
        <w:rPr>
          <w:rFonts w:eastAsiaTheme="minorEastAsia"/>
          <w:color w:val="000000" w:themeColor="text1"/>
          <w:sz w:val="24"/>
          <w:szCs w:val="24"/>
        </w:rPr>
      </w:pPr>
      <w:r w:rsidRPr="61096C0A">
        <w:rPr>
          <w:rFonts w:eastAsiaTheme="minorEastAsia"/>
          <w:color w:val="000000" w:themeColor="text1"/>
          <w:sz w:val="24"/>
          <w:szCs w:val="24"/>
        </w:rPr>
        <w:lastRenderedPageBreak/>
        <w:t>Naomi Lea, 23 from Denbighshire, grew up in a family who were experiencing poverty, and is an End Child Poverty Coalition Ambassador</w:t>
      </w:r>
    </w:p>
    <w:p w14:paraId="2787DC4B" w14:textId="697780A2" w:rsidR="61096C0A" w:rsidRDefault="61096C0A" w:rsidP="61096C0A">
      <w:pPr>
        <w:rPr>
          <w:rFonts w:eastAsiaTheme="minorEastAsia"/>
          <w:color w:val="000000" w:themeColor="text1"/>
          <w:sz w:val="24"/>
          <w:szCs w:val="24"/>
        </w:rPr>
      </w:pPr>
      <w:r w:rsidRPr="61096C0A">
        <w:rPr>
          <w:rFonts w:eastAsiaTheme="minorEastAsia"/>
          <w:color w:val="000000" w:themeColor="text1"/>
          <w:sz w:val="24"/>
          <w:szCs w:val="24"/>
        </w:rPr>
        <w:t xml:space="preserve">‘To see the rates of child poverty across Wales is devastating. Behind each of those numbers are real children and their families who are struggling right now just to get by. Often having a job is simply not enough to survive on for these families. Speaking to any one of them you would see that they are not to blame and that we urgently need action to bring these figures down. </w:t>
      </w:r>
    </w:p>
    <w:p w14:paraId="192CC2C6" w14:textId="262A8D01" w:rsidR="61096C0A" w:rsidRDefault="0029512E" w:rsidP="61096C0A">
      <w:pPr>
        <w:rPr>
          <w:rFonts w:eastAsiaTheme="minorEastAsia"/>
          <w:color w:val="000000" w:themeColor="text1"/>
          <w:sz w:val="24"/>
          <w:szCs w:val="24"/>
        </w:rPr>
      </w:pPr>
      <w:r>
        <w:rPr>
          <w:rFonts w:eastAsiaTheme="minorEastAsia"/>
          <w:color w:val="000000" w:themeColor="text1"/>
          <w:sz w:val="24"/>
          <w:szCs w:val="24"/>
        </w:rPr>
        <w:t>“</w:t>
      </w:r>
      <w:r w:rsidR="61096C0A" w:rsidRPr="61096C0A">
        <w:rPr>
          <w:rFonts w:eastAsiaTheme="minorEastAsia"/>
          <w:color w:val="000000" w:themeColor="text1"/>
          <w:sz w:val="24"/>
          <w:szCs w:val="24"/>
        </w:rPr>
        <w:t xml:space="preserve">Growing up in poverty, I experienced many things no child should ever have to. For many years of my life, my Mum worked in the care sector, but unfortunately this still did not allow us enough money to live on. I became very aware from a young age about our financial situation, from bigger worries, like whether we would be able to pay the rent and keep a roof over our heads to the daily worries about what food we would be to afford. It wasn’t that I was told I couldn’t access </w:t>
      </w:r>
      <w:proofErr w:type="spellStart"/>
      <w:r w:rsidR="61096C0A" w:rsidRPr="61096C0A">
        <w:rPr>
          <w:rFonts w:eastAsiaTheme="minorEastAsia"/>
          <w:color w:val="000000" w:themeColor="text1"/>
          <w:sz w:val="24"/>
          <w:szCs w:val="24"/>
        </w:rPr>
        <w:t>an</w:t>
      </w:r>
      <w:proofErr w:type="spellEnd"/>
      <w:r w:rsidR="61096C0A" w:rsidRPr="61096C0A">
        <w:rPr>
          <w:rFonts w:eastAsiaTheme="minorEastAsia"/>
          <w:color w:val="000000" w:themeColor="text1"/>
          <w:sz w:val="24"/>
          <w:szCs w:val="24"/>
        </w:rPr>
        <w:t xml:space="preserve"> after school club or music lesson but that I literally never asked. No child should have to be so aware of that. </w:t>
      </w:r>
    </w:p>
    <w:p w14:paraId="60C10C03" w14:textId="12F1C248" w:rsidR="61096C0A" w:rsidRDefault="0029512E" w:rsidP="61096C0A">
      <w:pPr>
        <w:rPr>
          <w:rFonts w:eastAsiaTheme="minorEastAsia"/>
          <w:color w:val="000000" w:themeColor="text1"/>
          <w:sz w:val="24"/>
          <w:szCs w:val="24"/>
        </w:rPr>
      </w:pPr>
      <w:r>
        <w:rPr>
          <w:rFonts w:eastAsiaTheme="minorEastAsia"/>
          <w:color w:val="000000" w:themeColor="text1"/>
          <w:sz w:val="24"/>
          <w:szCs w:val="24"/>
        </w:rPr>
        <w:t>“</w:t>
      </w:r>
      <w:proofErr w:type="gramStart"/>
      <w:r w:rsidR="61096C0A" w:rsidRPr="61096C0A">
        <w:rPr>
          <w:rFonts w:eastAsiaTheme="minorEastAsia"/>
          <w:color w:val="000000" w:themeColor="text1"/>
          <w:sz w:val="24"/>
          <w:szCs w:val="24"/>
        </w:rPr>
        <w:t>I’m</w:t>
      </w:r>
      <w:proofErr w:type="gramEnd"/>
      <w:r w:rsidR="61096C0A" w:rsidRPr="61096C0A">
        <w:rPr>
          <w:rFonts w:eastAsiaTheme="minorEastAsia"/>
          <w:color w:val="000000" w:themeColor="text1"/>
          <w:sz w:val="24"/>
          <w:szCs w:val="24"/>
        </w:rPr>
        <w:t xml:space="preserve"> 23 now and have moved away from my family home and would no longer consider myself as living in poverty, but the impact of growing up with those experiences is something I live with every day. Money is something that still terrifies me and can cause me intense anxiety, and the stigma of living in poverty is something that still plagues me. With the cost of living rising, those fears reignite, and I can only imagine the intensity of those feelings for those still living in poverty. </w:t>
      </w:r>
    </w:p>
    <w:p w14:paraId="19D504CC" w14:textId="49C899B3" w:rsidR="61096C0A" w:rsidRDefault="0029512E" w:rsidP="61096C0A">
      <w:pPr>
        <w:rPr>
          <w:rFonts w:eastAsiaTheme="minorEastAsia"/>
          <w:color w:val="000000" w:themeColor="text1"/>
          <w:sz w:val="24"/>
          <w:szCs w:val="24"/>
        </w:rPr>
      </w:pPr>
      <w:r>
        <w:rPr>
          <w:rFonts w:eastAsiaTheme="minorEastAsia"/>
          <w:color w:val="000000" w:themeColor="text1"/>
          <w:sz w:val="24"/>
          <w:szCs w:val="24"/>
        </w:rPr>
        <w:t>“</w:t>
      </w:r>
      <w:r w:rsidR="61096C0A" w:rsidRPr="61096C0A">
        <w:rPr>
          <w:rFonts w:eastAsiaTheme="minorEastAsia"/>
          <w:color w:val="000000" w:themeColor="text1"/>
          <w:sz w:val="24"/>
          <w:szCs w:val="24"/>
        </w:rPr>
        <w:t>The mental health impact of living in poverty, of fighting to survive on so little, is huge and often underestimated in our society. For those children and families in these figures, it is not only about making sure they have the financial resource to live and thrive but also about the emotional support that needs to be available now and in their futures.”</w:t>
      </w:r>
    </w:p>
    <w:p w14:paraId="36B8D18D" w14:textId="34E86BF1" w:rsidR="61096C0A" w:rsidRDefault="61096C0A" w:rsidP="61096C0A">
      <w:pPr>
        <w:rPr>
          <w:rFonts w:eastAsiaTheme="minorEastAsia"/>
          <w:sz w:val="24"/>
          <w:szCs w:val="24"/>
        </w:rPr>
      </w:pPr>
      <w:r w:rsidRPr="61096C0A">
        <w:rPr>
          <w:rFonts w:eastAsiaTheme="minorEastAsia"/>
          <w:sz w:val="24"/>
          <w:szCs w:val="24"/>
        </w:rPr>
        <w:t>With the cost of living crisis now causing further hardship, the campaigners are calling on the UK government to ensure social security is adequate in the long term, so that every family can afford the essentials. Specifically, they say governments must ensure:</w:t>
      </w:r>
    </w:p>
    <w:p w14:paraId="4F3C9119" w14:textId="55DF9460" w:rsidR="61096C0A" w:rsidRDefault="61096C0A" w:rsidP="61096C0A">
      <w:pPr>
        <w:pStyle w:val="ListParagraph"/>
        <w:numPr>
          <w:ilvl w:val="0"/>
          <w:numId w:val="5"/>
        </w:numPr>
        <w:rPr>
          <w:rFonts w:eastAsiaTheme="minorEastAsia"/>
          <w:sz w:val="24"/>
          <w:szCs w:val="24"/>
        </w:rPr>
      </w:pPr>
      <w:r w:rsidRPr="61096C0A">
        <w:rPr>
          <w:rFonts w:eastAsiaTheme="minorEastAsia"/>
          <w:sz w:val="24"/>
          <w:szCs w:val="24"/>
        </w:rPr>
        <w:t>Benefit payments permanently keep pace with inflation, not just through one-off measures due to be implemented this autumn.</w:t>
      </w:r>
    </w:p>
    <w:p w14:paraId="681FB9DE" w14:textId="6883DEEB" w:rsidR="61096C0A" w:rsidRDefault="61096C0A" w:rsidP="61096C0A">
      <w:pPr>
        <w:pStyle w:val="ListParagraph"/>
        <w:numPr>
          <w:ilvl w:val="0"/>
          <w:numId w:val="5"/>
        </w:numPr>
        <w:rPr>
          <w:rFonts w:eastAsiaTheme="minorEastAsia"/>
          <w:sz w:val="24"/>
          <w:szCs w:val="24"/>
        </w:rPr>
      </w:pPr>
      <w:r w:rsidRPr="61096C0A">
        <w:rPr>
          <w:rFonts w:eastAsiaTheme="minorEastAsia"/>
          <w:sz w:val="24"/>
          <w:szCs w:val="24"/>
        </w:rPr>
        <w:t>Deductions from universal credit payments should be reduced, and the 2-child limit and the benefit cap abolished.</w:t>
      </w:r>
    </w:p>
    <w:p w14:paraId="22EEB0FB" w14:textId="4372C3E3" w:rsidR="61096C0A" w:rsidRDefault="61096C0A" w:rsidP="61096C0A">
      <w:pPr>
        <w:pStyle w:val="ListParagraph"/>
        <w:numPr>
          <w:ilvl w:val="0"/>
          <w:numId w:val="5"/>
        </w:numPr>
        <w:rPr>
          <w:rFonts w:eastAsiaTheme="minorEastAsia"/>
          <w:sz w:val="24"/>
          <w:szCs w:val="24"/>
        </w:rPr>
      </w:pPr>
      <w:r w:rsidRPr="61096C0A">
        <w:rPr>
          <w:rFonts w:eastAsiaTheme="minorEastAsia"/>
          <w:sz w:val="24"/>
          <w:szCs w:val="24"/>
        </w:rPr>
        <w:t>There is improved access to free or affordable childcare.</w:t>
      </w:r>
    </w:p>
    <w:p w14:paraId="026F9C33" w14:textId="093B5AE1" w:rsidR="61096C0A" w:rsidRDefault="61096C0A" w:rsidP="61096C0A">
      <w:pPr>
        <w:pStyle w:val="ListParagraph"/>
        <w:numPr>
          <w:ilvl w:val="0"/>
          <w:numId w:val="5"/>
        </w:numPr>
        <w:rPr>
          <w:rFonts w:eastAsiaTheme="minorEastAsia"/>
          <w:sz w:val="24"/>
          <w:szCs w:val="24"/>
        </w:rPr>
      </w:pPr>
      <w:r w:rsidRPr="61096C0A">
        <w:rPr>
          <w:rFonts w:eastAsiaTheme="minorEastAsia"/>
          <w:sz w:val="24"/>
          <w:szCs w:val="24"/>
        </w:rPr>
        <w:t>Free School Meals are extended to all children in families receiving Universal Credit or equivalent benefits.</w:t>
      </w:r>
    </w:p>
    <w:p w14:paraId="476C1EFC" w14:textId="5BBFD429" w:rsidR="000D59CE" w:rsidRDefault="000D59CE" w:rsidP="61096C0A">
      <w:pPr>
        <w:rPr>
          <w:rFonts w:eastAsiaTheme="minorEastAsia"/>
          <w:sz w:val="24"/>
          <w:szCs w:val="24"/>
        </w:rPr>
      </w:pPr>
      <w:r w:rsidRPr="61096C0A">
        <w:rPr>
          <w:rFonts w:eastAsiaTheme="minorEastAsia"/>
          <w:sz w:val="24"/>
          <w:szCs w:val="24"/>
        </w:rPr>
        <w:t xml:space="preserve">The End Child Poverty campaigners are </w:t>
      </w:r>
      <w:r w:rsidR="0C179681" w:rsidRPr="61096C0A">
        <w:rPr>
          <w:rFonts w:eastAsiaTheme="minorEastAsia"/>
          <w:sz w:val="24"/>
          <w:szCs w:val="24"/>
        </w:rPr>
        <w:t xml:space="preserve">also </w:t>
      </w:r>
      <w:r w:rsidRPr="61096C0A">
        <w:rPr>
          <w:rFonts w:eastAsiaTheme="minorEastAsia"/>
          <w:sz w:val="24"/>
          <w:szCs w:val="24"/>
        </w:rPr>
        <w:t xml:space="preserve">urging newly elected councillors across </w:t>
      </w:r>
      <w:r w:rsidR="4CC393FC" w:rsidRPr="61096C0A">
        <w:rPr>
          <w:rFonts w:eastAsiaTheme="minorEastAsia"/>
          <w:sz w:val="24"/>
          <w:szCs w:val="24"/>
        </w:rPr>
        <w:t>Wales</w:t>
      </w:r>
      <w:r w:rsidRPr="61096C0A">
        <w:rPr>
          <w:rFonts w:eastAsiaTheme="minorEastAsia"/>
          <w:sz w:val="24"/>
          <w:szCs w:val="24"/>
        </w:rPr>
        <w:t xml:space="preserve"> to use local powers, including over economic development, housing, and financial support, to maximise family incomes and reduce the costs parents face. </w:t>
      </w:r>
    </w:p>
    <w:p w14:paraId="57F51167" w14:textId="43AC07BD" w:rsidR="000D59CE" w:rsidRDefault="4D016093" w:rsidP="61096C0A">
      <w:pPr>
        <w:rPr>
          <w:rFonts w:eastAsiaTheme="minorEastAsia"/>
          <w:sz w:val="24"/>
          <w:szCs w:val="24"/>
        </w:rPr>
      </w:pPr>
      <w:r w:rsidRPr="61096C0A">
        <w:rPr>
          <w:rFonts w:eastAsiaTheme="minorEastAsia"/>
          <w:sz w:val="24"/>
          <w:szCs w:val="24"/>
        </w:rPr>
        <w:t xml:space="preserve">Responding to </w:t>
      </w:r>
      <w:r w:rsidR="26CA73FB" w:rsidRPr="61096C0A">
        <w:rPr>
          <w:rFonts w:eastAsiaTheme="minorEastAsia"/>
          <w:sz w:val="24"/>
          <w:szCs w:val="24"/>
        </w:rPr>
        <w:t>the new figures</w:t>
      </w:r>
      <w:r w:rsidR="5032D613" w:rsidRPr="61096C0A">
        <w:rPr>
          <w:rFonts w:eastAsiaTheme="minorEastAsia"/>
          <w:sz w:val="24"/>
          <w:szCs w:val="24"/>
        </w:rPr>
        <w:t>,</w:t>
      </w:r>
      <w:r w:rsidR="26CA73FB" w:rsidRPr="61096C0A">
        <w:rPr>
          <w:rFonts w:eastAsiaTheme="minorEastAsia"/>
          <w:sz w:val="24"/>
          <w:szCs w:val="24"/>
        </w:rPr>
        <w:t xml:space="preserve"> Ellie Harwood from the </w:t>
      </w:r>
      <w:r w:rsidR="000D59CE" w:rsidRPr="61096C0A">
        <w:rPr>
          <w:rFonts w:eastAsiaTheme="minorEastAsia"/>
          <w:sz w:val="24"/>
          <w:szCs w:val="24"/>
        </w:rPr>
        <w:t xml:space="preserve">Child Poverty Action Group </w:t>
      </w:r>
      <w:r w:rsidRPr="61096C0A">
        <w:rPr>
          <w:rFonts w:eastAsiaTheme="minorEastAsia"/>
          <w:sz w:val="24"/>
          <w:szCs w:val="24"/>
        </w:rPr>
        <w:t>said:</w:t>
      </w:r>
      <w:r w:rsidR="000D59CE" w:rsidRPr="61096C0A">
        <w:rPr>
          <w:rFonts w:eastAsiaTheme="minorEastAsia"/>
          <w:sz w:val="24"/>
          <w:szCs w:val="24"/>
        </w:rPr>
        <w:t xml:space="preserve"> </w:t>
      </w:r>
    </w:p>
    <w:p w14:paraId="37516691" w14:textId="3199B355" w:rsidR="00A413F7" w:rsidRDefault="26CA73FB" w:rsidP="61096C0A">
      <w:pPr>
        <w:rPr>
          <w:rFonts w:eastAsiaTheme="minorEastAsia"/>
          <w:sz w:val="24"/>
          <w:szCs w:val="24"/>
        </w:rPr>
      </w:pPr>
      <w:r w:rsidRPr="61096C0A">
        <w:rPr>
          <w:rFonts w:eastAsiaTheme="minorEastAsia"/>
          <w:sz w:val="24"/>
          <w:szCs w:val="24"/>
        </w:rPr>
        <w:lastRenderedPageBreak/>
        <w:t>“The reductions in child poverty at a UK level show that, when the UK and devolved governments invest in social security, children can be rapidly lifted out of poverty. However, benefits are only one aspect of preventing and ending child poverty. We also need fair work for families, accessible childcare, an inclusive and affordable education system, and equitable public services that meet the specific needs of families affected by poverty.</w:t>
      </w:r>
      <w:r w:rsidR="4D016093" w:rsidRPr="61096C0A">
        <w:rPr>
          <w:rFonts w:eastAsiaTheme="minorEastAsia"/>
          <w:sz w:val="24"/>
          <w:szCs w:val="24"/>
        </w:rPr>
        <w:t xml:space="preserve"> Wales </w:t>
      </w:r>
      <w:r w:rsidR="766D1174" w:rsidRPr="61096C0A">
        <w:rPr>
          <w:rFonts w:eastAsiaTheme="minorEastAsia"/>
          <w:sz w:val="24"/>
          <w:szCs w:val="24"/>
        </w:rPr>
        <w:t xml:space="preserve">urgently </w:t>
      </w:r>
      <w:r w:rsidR="4D016093" w:rsidRPr="61096C0A">
        <w:rPr>
          <w:rFonts w:eastAsiaTheme="minorEastAsia"/>
          <w:sz w:val="24"/>
          <w:szCs w:val="24"/>
        </w:rPr>
        <w:t>needs a</w:t>
      </w:r>
      <w:r w:rsidR="766D1174" w:rsidRPr="61096C0A">
        <w:rPr>
          <w:rFonts w:eastAsiaTheme="minorEastAsia"/>
          <w:sz w:val="24"/>
          <w:szCs w:val="24"/>
        </w:rPr>
        <w:t xml:space="preserve"> new</w:t>
      </w:r>
      <w:r w:rsidR="4D016093" w:rsidRPr="61096C0A">
        <w:rPr>
          <w:rFonts w:eastAsiaTheme="minorEastAsia"/>
          <w:sz w:val="24"/>
          <w:szCs w:val="24"/>
        </w:rPr>
        <w:t xml:space="preserve"> national child poverty strategy </w:t>
      </w:r>
      <w:r w:rsidR="766D1174" w:rsidRPr="61096C0A">
        <w:rPr>
          <w:rFonts w:eastAsiaTheme="minorEastAsia"/>
          <w:sz w:val="24"/>
          <w:szCs w:val="24"/>
        </w:rPr>
        <w:t>to</w:t>
      </w:r>
      <w:r w:rsidR="4D016093" w:rsidRPr="61096C0A">
        <w:rPr>
          <w:rFonts w:eastAsiaTheme="minorEastAsia"/>
          <w:sz w:val="24"/>
          <w:szCs w:val="24"/>
        </w:rPr>
        <w:t xml:space="preserve"> c</w:t>
      </w:r>
      <w:r w:rsidR="766D1174" w:rsidRPr="61096C0A">
        <w:rPr>
          <w:rFonts w:eastAsiaTheme="minorEastAsia"/>
          <w:sz w:val="24"/>
          <w:szCs w:val="24"/>
        </w:rPr>
        <w:t>o-ordinate</w:t>
      </w:r>
      <w:r w:rsidR="4D016093" w:rsidRPr="61096C0A">
        <w:rPr>
          <w:rFonts w:eastAsiaTheme="minorEastAsia"/>
          <w:sz w:val="24"/>
          <w:szCs w:val="24"/>
        </w:rPr>
        <w:t xml:space="preserve"> all the action </w:t>
      </w:r>
      <w:r w:rsidR="766D1174" w:rsidRPr="61096C0A">
        <w:rPr>
          <w:rFonts w:eastAsiaTheme="minorEastAsia"/>
          <w:sz w:val="24"/>
          <w:szCs w:val="24"/>
        </w:rPr>
        <w:t>required to</w:t>
      </w:r>
      <w:r w:rsidR="4D016093" w:rsidRPr="61096C0A">
        <w:rPr>
          <w:rFonts w:eastAsiaTheme="minorEastAsia"/>
          <w:sz w:val="24"/>
          <w:szCs w:val="24"/>
        </w:rPr>
        <w:t xml:space="preserve"> prevent and end child poverty for good.”</w:t>
      </w:r>
    </w:p>
    <w:p w14:paraId="20044564" w14:textId="0295EB5A" w:rsidR="00D52CF7" w:rsidRDefault="000D59CE" w:rsidP="61096C0A">
      <w:pPr>
        <w:rPr>
          <w:rFonts w:eastAsiaTheme="minorEastAsia"/>
          <w:sz w:val="24"/>
          <w:szCs w:val="24"/>
        </w:rPr>
      </w:pPr>
      <w:r w:rsidRPr="61096C0A">
        <w:rPr>
          <w:rFonts w:eastAsiaTheme="minorEastAsia"/>
          <w:sz w:val="24"/>
          <w:szCs w:val="24"/>
        </w:rPr>
        <w:t>H</w:t>
      </w:r>
      <w:r w:rsidR="5032D613" w:rsidRPr="61096C0A">
        <w:rPr>
          <w:rFonts w:eastAsiaTheme="minorEastAsia"/>
          <w:sz w:val="24"/>
          <w:szCs w:val="24"/>
        </w:rPr>
        <w:t>ere in Wales,</w:t>
      </w:r>
      <w:r w:rsidRPr="61096C0A">
        <w:rPr>
          <w:rFonts w:eastAsiaTheme="minorEastAsia"/>
          <w:sz w:val="24"/>
          <w:szCs w:val="24"/>
        </w:rPr>
        <w:t xml:space="preserve"> we urge newly elected councillors to use every tool at their disposal to boost family incomes and reduce the costs families face. That means using local powers to deliver more cash support to families, support decent jobs - especially for women and </w:t>
      </w:r>
      <w:r w:rsidR="531ABFE9" w:rsidRPr="61096C0A">
        <w:rPr>
          <w:rFonts w:eastAsiaTheme="minorEastAsia"/>
          <w:sz w:val="24"/>
          <w:szCs w:val="24"/>
        </w:rPr>
        <w:t>disabled people</w:t>
      </w:r>
      <w:r w:rsidR="51D0A39C" w:rsidRPr="61096C0A">
        <w:rPr>
          <w:rFonts w:eastAsiaTheme="minorEastAsia"/>
          <w:sz w:val="24"/>
          <w:szCs w:val="24"/>
        </w:rPr>
        <w:t xml:space="preserve"> -</w:t>
      </w:r>
      <w:r w:rsidRPr="61096C0A">
        <w:rPr>
          <w:rFonts w:eastAsiaTheme="minorEastAsia"/>
          <w:sz w:val="24"/>
          <w:szCs w:val="24"/>
        </w:rPr>
        <w:t xml:space="preserve"> and improve access to high quality, free childcare. The </w:t>
      </w:r>
      <w:r w:rsidR="766D1174" w:rsidRPr="61096C0A">
        <w:rPr>
          <w:rFonts w:eastAsiaTheme="minorEastAsia"/>
          <w:sz w:val="24"/>
          <w:szCs w:val="24"/>
        </w:rPr>
        <w:t>Welsh government should also continue to invest in cash-first support for families</w:t>
      </w:r>
      <w:r w:rsidR="5032D613" w:rsidRPr="61096C0A">
        <w:rPr>
          <w:rFonts w:eastAsiaTheme="minorEastAsia"/>
          <w:sz w:val="24"/>
          <w:szCs w:val="24"/>
        </w:rPr>
        <w:t xml:space="preserve"> through the Pupil Development Grant and free school meal payments</w:t>
      </w:r>
      <w:r w:rsidRPr="61096C0A">
        <w:rPr>
          <w:rFonts w:eastAsiaTheme="minorEastAsia"/>
          <w:sz w:val="24"/>
          <w:szCs w:val="24"/>
        </w:rPr>
        <w:t>.”</w:t>
      </w:r>
    </w:p>
    <w:p w14:paraId="7892EAAB" w14:textId="2AE86F72" w:rsidR="00D52CF7" w:rsidRDefault="61096C0A" w:rsidP="61096C0A">
      <w:pPr>
        <w:rPr>
          <w:rFonts w:eastAsiaTheme="minorEastAsia"/>
          <w:sz w:val="24"/>
          <w:szCs w:val="24"/>
        </w:rPr>
      </w:pPr>
      <w:r w:rsidRPr="61096C0A">
        <w:rPr>
          <w:rFonts w:eastAsiaTheme="minorEastAsia"/>
          <w:sz w:val="24"/>
          <w:szCs w:val="24"/>
        </w:rPr>
        <w:t xml:space="preserve">Referring to the work that Save the Children does with families and partners, Melanie Simmonds, Head of Save the Children Cymru added: “I’ve heard heart breaking tales of parents struggling to afford even the basics and not eating so that their children don’t go hungry. Many are juggling debts so they can cover basic living costs and that they find it difficult to get clear advice and support when in need. For many, living in constant fear of not being able to support their children affects they own mental health and ultimately seeing their parents in such stress affects children’s wellbeing too. </w:t>
      </w:r>
    </w:p>
    <w:p w14:paraId="58D25677" w14:textId="11F50498" w:rsidR="00D52CF7" w:rsidRDefault="61096C0A" w:rsidP="61096C0A">
      <w:pPr>
        <w:rPr>
          <w:rFonts w:eastAsiaTheme="minorEastAsia"/>
          <w:sz w:val="24"/>
          <w:szCs w:val="24"/>
        </w:rPr>
      </w:pPr>
      <w:r w:rsidRPr="61096C0A">
        <w:rPr>
          <w:rFonts w:eastAsiaTheme="minorEastAsia"/>
          <w:sz w:val="24"/>
          <w:szCs w:val="24"/>
        </w:rPr>
        <w:t>“This is a serious situation that needs an updated child poverty strategy and action plan with key targets and milestones to provide an urgent co-ordinated approach at local and national level allowing public and third sector</w:t>
      </w:r>
      <w:r w:rsidR="00E16F2B">
        <w:rPr>
          <w:rFonts w:eastAsiaTheme="minorEastAsia"/>
          <w:sz w:val="24"/>
          <w:szCs w:val="24"/>
        </w:rPr>
        <w:t>s</w:t>
      </w:r>
      <w:r w:rsidRPr="61096C0A">
        <w:rPr>
          <w:rFonts w:eastAsiaTheme="minorEastAsia"/>
          <w:sz w:val="24"/>
          <w:szCs w:val="24"/>
        </w:rPr>
        <w:t xml:space="preserve"> to work together. The Welsh Government need</w:t>
      </w:r>
      <w:r w:rsidR="00E16F2B">
        <w:rPr>
          <w:rFonts w:eastAsiaTheme="minorEastAsia"/>
          <w:sz w:val="24"/>
          <w:szCs w:val="24"/>
        </w:rPr>
        <w:t>s</w:t>
      </w:r>
      <w:r w:rsidRPr="61096C0A">
        <w:rPr>
          <w:rFonts w:eastAsiaTheme="minorEastAsia"/>
          <w:sz w:val="24"/>
          <w:szCs w:val="24"/>
        </w:rPr>
        <w:t xml:space="preserve"> to ensure that all their programmes of support including free school meals and the childcare offer are available to all those children in Wales who are living in poverty.”</w:t>
      </w:r>
    </w:p>
    <w:p w14:paraId="1639A77C" w14:textId="44695AB0" w:rsidR="00D52CF7" w:rsidRDefault="61096C0A" w:rsidP="61096C0A">
      <w:pPr>
        <w:rPr>
          <w:rFonts w:eastAsiaTheme="minorEastAsia"/>
          <w:i/>
          <w:iCs/>
          <w:color w:val="000000" w:themeColor="text1"/>
          <w:sz w:val="24"/>
          <w:szCs w:val="24"/>
        </w:rPr>
      </w:pPr>
      <w:r w:rsidRPr="61096C0A">
        <w:rPr>
          <w:rFonts w:eastAsiaTheme="minorEastAsia"/>
          <w:color w:val="000000" w:themeColor="text1"/>
          <w:sz w:val="24"/>
          <w:szCs w:val="24"/>
        </w:rPr>
        <w:t>Sean O'Neill, Policy Director at Children in Wales said: “Although the powers to tackle child poverty do not completely rest in Wales, the Welsh Government should accelerate its efforts to avoid yet more children being swept up into poverty in the months to come. This is a national crisis. Tackling the cost-of-living increases and preventing more families falling below the breadline has to be the number one priority, and a revised Child Poverty Strategy should be published without further delay.</w:t>
      </w:r>
    </w:p>
    <w:p w14:paraId="08FDFB14" w14:textId="77777777" w:rsidR="000D59CE" w:rsidRDefault="000D59CE" w:rsidP="61096C0A">
      <w:pPr>
        <w:rPr>
          <w:rFonts w:eastAsiaTheme="minorEastAsia"/>
          <w:sz w:val="24"/>
          <w:szCs w:val="24"/>
        </w:rPr>
      </w:pPr>
      <w:r w:rsidRPr="61096C0A">
        <w:rPr>
          <w:rFonts w:eastAsiaTheme="minorEastAsia"/>
          <w:sz w:val="24"/>
          <w:szCs w:val="24"/>
        </w:rPr>
        <w:t xml:space="preserve">*Data detailed in this press release are numbers of children living in poverty in year 2020/2021 </w:t>
      </w:r>
    </w:p>
    <w:p w14:paraId="1295D768" w14:textId="1F3DD7AF" w:rsidR="000D59CE" w:rsidRDefault="000D59CE" w:rsidP="61096C0A">
      <w:pPr>
        <w:rPr>
          <w:rFonts w:eastAsiaTheme="minorEastAsia"/>
          <w:b/>
          <w:bCs/>
          <w:sz w:val="24"/>
          <w:szCs w:val="24"/>
        </w:rPr>
      </w:pPr>
      <w:r w:rsidRPr="61096C0A">
        <w:rPr>
          <w:rFonts w:eastAsiaTheme="minorEastAsia"/>
          <w:b/>
          <w:bCs/>
          <w:sz w:val="24"/>
          <w:szCs w:val="24"/>
        </w:rPr>
        <w:t>Estimates of children living in poverty, below 60% median income</w:t>
      </w:r>
      <w:r w:rsidR="0C179681" w:rsidRPr="61096C0A">
        <w:rPr>
          <w:rFonts w:eastAsiaTheme="minorEastAsia"/>
          <w:b/>
          <w:bCs/>
          <w:sz w:val="24"/>
          <w:szCs w:val="24"/>
        </w:rPr>
        <w:t xml:space="preserve"> after housing costs, by Wels</w:t>
      </w:r>
      <w:r w:rsidRPr="61096C0A">
        <w:rPr>
          <w:rFonts w:eastAsiaTheme="minorEastAsia"/>
          <w:b/>
          <w:bCs/>
          <w:sz w:val="24"/>
          <w:szCs w:val="24"/>
        </w:rPr>
        <w:t xml:space="preserve">h local authority. </w:t>
      </w:r>
    </w:p>
    <w:tbl>
      <w:tblPr>
        <w:tblStyle w:val="TableGrid"/>
        <w:tblW w:w="0" w:type="auto"/>
        <w:tblLayout w:type="fixed"/>
        <w:tblLook w:val="06A0" w:firstRow="1" w:lastRow="0" w:firstColumn="1" w:lastColumn="0" w:noHBand="1" w:noVBand="1"/>
      </w:tblPr>
      <w:tblGrid>
        <w:gridCol w:w="4455"/>
        <w:gridCol w:w="1680"/>
        <w:gridCol w:w="1800"/>
      </w:tblGrid>
      <w:tr w:rsidR="61096C0A" w14:paraId="3854FA58" w14:textId="77777777" w:rsidTr="61096C0A">
        <w:trPr>
          <w:trHeight w:val="570"/>
        </w:trPr>
        <w:tc>
          <w:tcPr>
            <w:tcW w:w="4455" w:type="dxa"/>
            <w:vMerge w:val="restart"/>
            <w:vAlign w:val="center"/>
          </w:tcPr>
          <w:p w14:paraId="4FEFC79C" w14:textId="7F93291E" w:rsidR="61096C0A" w:rsidRDefault="61096C0A" w:rsidP="61096C0A">
            <w:pPr>
              <w:jc w:val="center"/>
              <w:rPr>
                <w:rFonts w:ascii="Calibri" w:eastAsia="Calibri" w:hAnsi="Calibri" w:cs="Calibri"/>
                <w:b/>
                <w:bCs/>
                <w:color w:val="000000" w:themeColor="text1"/>
                <w:sz w:val="28"/>
                <w:szCs w:val="28"/>
              </w:rPr>
            </w:pPr>
            <w:r w:rsidRPr="61096C0A">
              <w:rPr>
                <w:rFonts w:ascii="Calibri" w:eastAsia="Calibri" w:hAnsi="Calibri" w:cs="Calibri"/>
                <w:b/>
                <w:bCs/>
                <w:color w:val="000000" w:themeColor="text1"/>
                <w:sz w:val="28"/>
                <w:szCs w:val="28"/>
              </w:rPr>
              <w:t>Local authority</w:t>
            </w:r>
          </w:p>
        </w:tc>
        <w:tc>
          <w:tcPr>
            <w:tcW w:w="1680" w:type="dxa"/>
          </w:tcPr>
          <w:p w14:paraId="614CFC16" w14:textId="427486F1" w:rsidR="61096C0A" w:rsidRDefault="61096C0A">
            <w:r w:rsidRPr="61096C0A">
              <w:rPr>
                <w:rFonts w:ascii="Arial" w:eastAsia="Arial" w:hAnsi="Arial" w:cs="Arial"/>
                <w:sz w:val="20"/>
                <w:szCs w:val="20"/>
              </w:rPr>
              <w:t>Estimated percentage of children living in poverty</w:t>
            </w:r>
          </w:p>
        </w:tc>
        <w:tc>
          <w:tcPr>
            <w:tcW w:w="1800" w:type="dxa"/>
          </w:tcPr>
          <w:p w14:paraId="7E4E9B22" w14:textId="66254378" w:rsidR="61096C0A" w:rsidRDefault="61096C0A">
            <w:r w:rsidRPr="61096C0A">
              <w:rPr>
                <w:rFonts w:ascii="Calibri" w:eastAsia="Calibri" w:hAnsi="Calibri" w:cs="Calibri"/>
              </w:rPr>
              <w:t>Estimated number of children living in poverty</w:t>
            </w:r>
          </w:p>
        </w:tc>
      </w:tr>
      <w:tr w:rsidR="61096C0A" w14:paraId="0B3056FE" w14:textId="77777777" w:rsidTr="61096C0A">
        <w:trPr>
          <w:trHeight w:val="285"/>
        </w:trPr>
        <w:tc>
          <w:tcPr>
            <w:tcW w:w="4455" w:type="dxa"/>
            <w:vMerge/>
          </w:tcPr>
          <w:p w14:paraId="6B0573E4" w14:textId="77777777" w:rsidR="002D17E6" w:rsidRDefault="002D17E6"/>
        </w:tc>
        <w:tc>
          <w:tcPr>
            <w:tcW w:w="1680" w:type="dxa"/>
          </w:tcPr>
          <w:p w14:paraId="555981CD" w14:textId="108EE5F0" w:rsidR="61096C0A" w:rsidRDefault="61096C0A" w:rsidP="61096C0A">
            <w:r w:rsidRPr="61096C0A">
              <w:rPr>
                <w:rFonts w:ascii="Calibri" w:eastAsia="Calibri" w:hAnsi="Calibri" w:cs="Calibri"/>
                <w:b/>
                <w:bCs/>
                <w:color w:val="000000" w:themeColor="text1"/>
              </w:rPr>
              <w:t>2020/21</w:t>
            </w:r>
          </w:p>
        </w:tc>
        <w:tc>
          <w:tcPr>
            <w:tcW w:w="1800" w:type="dxa"/>
          </w:tcPr>
          <w:p w14:paraId="01895593" w14:textId="22D590B4" w:rsidR="61096C0A" w:rsidRDefault="61096C0A" w:rsidP="61096C0A">
            <w:r w:rsidRPr="61096C0A">
              <w:rPr>
                <w:rFonts w:ascii="Calibri" w:eastAsia="Calibri" w:hAnsi="Calibri" w:cs="Calibri"/>
                <w:b/>
                <w:bCs/>
                <w:color w:val="000000" w:themeColor="text1"/>
              </w:rPr>
              <w:t>2020/21</w:t>
            </w:r>
          </w:p>
        </w:tc>
      </w:tr>
      <w:tr w:rsidR="61096C0A" w14:paraId="765AC28A" w14:textId="77777777" w:rsidTr="61096C0A">
        <w:trPr>
          <w:trHeight w:val="270"/>
        </w:trPr>
        <w:tc>
          <w:tcPr>
            <w:tcW w:w="4455" w:type="dxa"/>
            <w:vAlign w:val="center"/>
          </w:tcPr>
          <w:p w14:paraId="3911F5DC" w14:textId="617FAD15" w:rsidR="61096C0A" w:rsidRDefault="61096C0A" w:rsidP="61096C0A">
            <w:pPr>
              <w:jc w:val="right"/>
              <w:rPr>
                <w:rFonts w:ascii="Arial" w:eastAsia="Arial" w:hAnsi="Arial" w:cs="Arial"/>
                <w:sz w:val="20"/>
                <w:szCs w:val="20"/>
              </w:rPr>
            </w:pPr>
            <w:r w:rsidRPr="61096C0A">
              <w:rPr>
                <w:rFonts w:ascii="Arial" w:eastAsia="Arial" w:hAnsi="Arial" w:cs="Arial"/>
                <w:sz w:val="20"/>
                <w:szCs w:val="20"/>
              </w:rPr>
              <w:t>Newport / Casnewydd</w:t>
            </w:r>
          </w:p>
        </w:tc>
        <w:tc>
          <w:tcPr>
            <w:tcW w:w="1680" w:type="dxa"/>
          </w:tcPr>
          <w:p w14:paraId="7A0AF9E1" w14:textId="20CB9ECB" w:rsidR="61096C0A" w:rsidRDefault="61096C0A" w:rsidP="61096C0A">
            <w:pPr>
              <w:jc w:val="center"/>
            </w:pPr>
            <w:r w:rsidRPr="61096C0A">
              <w:rPr>
                <w:rFonts w:ascii="Arial" w:eastAsia="Arial" w:hAnsi="Arial" w:cs="Arial"/>
                <w:sz w:val="20"/>
                <w:szCs w:val="20"/>
              </w:rPr>
              <w:t>36.3%</w:t>
            </w:r>
          </w:p>
        </w:tc>
        <w:tc>
          <w:tcPr>
            <w:tcW w:w="1800" w:type="dxa"/>
          </w:tcPr>
          <w:p w14:paraId="0E9525E9" w14:textId="09A560E4" w:rsidR="61096C0A" w:rsidRDefault="61096C0A" w:rsidP="61096C0A">
            <w:pPr>
              <w:jc w:val="center"/>
            </w:pPr>
            <w:r w:rsidRPr="61096C0A">
              <w:rPr>
                <w:rFonts w:ascii="Arial" w:eastAsia="Arial" w:hAnsi="Arial" w:cs="Arial"/>
                <w:sz w:val="20"/>
                <w:szCs w:val="20"/>
              </w:rPr>
              <w:t>11403</w:t>
            </w:r>
          </w:p>
        </w:tc>
      </w:tr>
      <w:tr w:rsidR="61096C0A" w14:paraId="6BE8AD2D" w14:textId="77777777" w:rsidTr="61096C0A">
        <w:trPr>
          <w:trHeight w:val="270"/>
        </w:trPr>
        <w:tc>
          <w:tcPr>
            <w:tcW w:w="4455" w:type="dxa"/>
            <w:vAlign w:val="center"/>
          </w:tcPr>
          <w:p w14:paraId="7D06DB1A" w14:textId="7381735B" w:rsidR="61096C0A" w:rsidRDefault="61096C0A" w:rsidP="61096C0A">
            <w:pPr>
              <w:jc w:val="right"/>
              <w:rPr>
                <w:rFonts w:ascii="Arial" w:eastAsia="Arial" w:hAnsi="Arial" w:cs="Arial"/>
                <w:sz w:val="20"/>
                <w:szCs w:val="20"/>
              </w:rPr>
            </w:pPr>
            <w:r w:rsidRPr="61096C0A">
              <w:rPr>
                <w:rFonts w:ascii="Arial" w:eastAsia="Arial" w:hAnsi="Arial" w:cs="Arial"/>
                <w:sz w:val="20"/>
                <w:szCs w:val="20"/>
              </w:rPr>
              <w:lastRenderedPageBreak/>
              <w:t>Cardiff / Caerdydd</w:t>
            </w:r>
          </w:p>
        </w:tc>
        <w:tc>
          <w:tcPr>
            <w:tcW w:w="1680" w:type="dxa"/>
          </w:tcPr>
          <w:p w14:paraId="04424AC7" w14:textId="336EE1BD" w:rsidR="61096C0A" w:rsidRDefault="61096C0A" w:rsidP="61096C0A">
            <w:pPr>
              <w:jc w:val="center"/>
            </w:pPr>
            <w:r w:rsidRPr="61096C0A">
              <w:rPr>
                <w:rFonts w:ascii="Arial" w:eastAsia="Arial" w:hAnsi="Arial" w:cs="Arial"/>
                <w:sz w:val="20"/>
                <w:szCs w:val="20"/>
              </w:rPr>
              <w:t>36.0%</w:t>
            </w:r>
          </w:p>
        </w:tc>
        <w:tc>
          <w:tcPr>
            <w:tcW w:w="1800" w:type="dxa"/>
          </w:tcPr>
          <w:p w14:paraId="01A65314" w14:textId="0B76925B" w:rsidR="61096C0A" w:rsidRDefault="61096C0A" w:rsidP="61096C0A">
            <w:pPr>
              <w:jc w:val="center"/>
            </w:pPr>
            <w:r w:rsidRPr="61096C0A">
              <w:rPr>
                <w:rFonts w:ascii="Arial" w:eastAsia="Arial" w:hAnsi="Arial" w:cs="Arial"/>
                <w:sz w:val="20"/>
                <w:szCs w:val="20"/>
              </w:rPr>
              <w:t>23946</w:t>
            </w:r>
          </w:p>
        </w:tc>
      </w:tr>
      <w:tr w:rsidR="61096C0A" w14:paraId="5DEDFD81" w14:textId="77777777" w:rsidTr="61096C0A">
        <w:trPr>
          <w:trHeight w:val="270"/>
        </w:trPr>
        <w:tc>
          <w:tcPr>
            <w:tcW w:w="4455" w:type="dxa"/>
            <w:vAlign w:val="center"/>
          </w:tcPr>
          <w:p w14:paraId="3064E0D0" w14:textId="2C5A17EA" w:rsidR="61096C0A" w:rsidRDefault="61096C0A" w:rsidP="61096C0A">
            <w:pPr>
              <w:jc w:val="right"/>
            </w:pPr>
            <w:r w:rsidRPr="61096C0A">
              <w:rPr>
                <w:rFonts w:ascii="Arial" w:eastAsia="Arial" w:hAnsi="Arial" w:cs="Arial"/>
                <w:sz w:val="20"/>
                <w:szCs w:val="20"/>
              </w:rPr>
              <w:t>Isle of Anglesey / Ynys Môn</w:t>
            </w:r>
          </w:p>
        </w:tc>
        <w:tc>
          <w:tcPr>
            <w:tcW w:w="1680" w:type="dxa"/>
          </w:tcPr>
          <w:p w14:paraId="487B3C8F" w14:textId="6898CAEF" w:rsidR="61096C0A" w:rsidRDefault="61096C0A" w:rsidP="61096C0A">
            <w:pPr>
              <w:jc w:val="center"/>
            </w:pPr>
            <w:r w:rsidRPr="61096C0A">
              <w:rPr>
                <w:rFonts w:ascii="Arial" w:eastAsia="Arial" w:hAnsi="Arial" w:cs="Arial"/>
                <w:sz w:val="20"/>
                <w:szCs w:val="20"/>
              </w:rPr>
              <w:t>35.6%</w:t>
            </w:r>
          </w:p>
        </w:tc>
        <w:tc>
          <w:tcPr>
            <w:tcW w:w="1800" w:type="dxa"/>
          </w:tcPr>
          <w:p w14:paraId="0D8F1A54" w14:textId="30B57643" w:rsidR="61096C0A" w:rsidRDefault="61096C0A" w:rsidP="61096C0A">
            <w:pPr>
              <w:jc w:val="center"/>
            </w:pPr>
            <w:r w:rsidRPr="61096C0A">
              <w:rPr>
                <w:rFonts w:ascii="Arial" w:eastAsia="Arial" w:hAnsi="Arial" w:cs="Arial"/>
                <w:sz w:val="20"/>
                <w:szCs w:val="20"/>
              </w:rPr>
              <w:t>4148</w:t>
            </w:r>
          </w:p>
        </w:tc>
      </w:tr>
      <w:tr w:rsidR="61096C0A" w14:paraId="35B02107" w14:textId="77777777" w:rsidTr="61096C0A">
        <w:trPr>
          <w:trHeight w:val="270"/>
        </w:trPr>
        <w:tc>
          <w:tcPr>
            <w:tcW w:w="4455" w:type="dxa"/>
            <w:vAlign w:val="center"/>
          </w:tcPr>
          <w:p w14:paraId="4CCB42AA" w14:textId="53223649" w:rsidR="61096C0A" w:rsidRDefault="61096C0A" w:rsidP="61096C0A">
            <w:pPr>
              <w:jc w:val="right"/>
            </w:pPr>
            <w:r w:rsidRPr="61096C0A">
              <w:rPr>
                <w:rFonts w:ascii="Arial" w:eastAsia="Arial" w:hAnsi="Arial" w:cs="Arial"/>
                <w:sz w:val="20"/>
                <w:szCs w:val="20"/>
              </w:rPr>
              <w:t>Blaenau Gwent / Blaenau Gwent</w:t>
            </w:r>
          </w:p>
        </w:tc>
        <w:tc>
          <w:tcPr>
            <w:tcW w:w="1680" w:type="dxa"/>
          </w:tcPr>
          <w:p w14:paraId="73C68FE2" w14:textId="678E5ABA" w:rsidR="61096C0A" w:rsidRDefault="61096C0A" w:rsidP="61096C0A">
            <w:pPr>
              <w:jc w:val="center"/>
            </w:pPr>
            <w:r w:rsidRPr="61096C0A">
              <w:rPr>
                <w:rFonts w:ascii="Arial" w:eastAsia="Arial" w:hAnsi="Arial" w:cs="Arial"/>
                <w:sz w:val="20"/>
                <w:szCs w:val="20"/>
              </w:rPr>
              <w:t>35.5%</w:t>
            </w:r>
          </w:p>
        </w:tc>
        <w:tc>
          <w:tcPr>
            <w:tcW w:w="1800" w:type="dxa"/>
          </w:tcPr>
          <w:p w14:paraId="455C05C7" w14:textId="74C7F227" w:rsidR="61096C0A" w:rsidRDefault="61096C0A" w:rsidP="61096C0A">
            <w:pPr>
              <w:jc w:val="center"/>
            </w:pPr>
            <w:r w:rsidRPr="61096C0A">
              <w:rPr>
                <w:rFonts w:ascii="Arial" w:eastAsia="Arial" w:hAnsi="Arial" w:cs="Arial"/>
                <w:sz w:val="20"/>
                <w:szCs w:val="20"/>
              </w:rPr>
              <w:t>4239</w:t>
            </w:r>
          </w:p>
        </w:tc>
      </w:tr>
      <w:tr w:rsidR="61096C0A" w14:paraId="0E3A53CD" w14:textId="77777777" w:rsidTr="61096C0A">
        <w:trPr>
          <w:trHeight w:val="270"/>
        </w:trPr>
        <w:tc>
          <w:tcPr>
            <w:tcW w:w="4455" w:type="dxa"/>
            <w:vAlign w:val="center"/>
          </w:tcPr>
          <w:p w14:paraId="472F585E" w14:textId="2B961A47" w:rsidR="61096C0A" w:rsidRDefault="61096C0A" w:rsidP="61096C0A">
            <w:pPr>
              <w:jc w:val="right"/>
              <w:rPr>
                <w:rFonts w:ascii="Arial" w:eastAsia="Arial" w:hAnsi="Arial" w:cs="Arial"/>
                <w:sz w:val="20"/>
                <w:szCs w:val="20"/>
              </w:rPr>
            </w:pPr>
            <w:r w:rsidRPr="61096C0A">
              <w:rPr>
                <w:rFonts w:ascii="Arial" w:eastAsia="Arial" w:hAnsi="Arial" w:cs="Arial"/>
                <w:sz w:val="20"/>
                <w:szCs w:val="20"/>
              </w:rPr>
              <w:t>Pembrokeshire / Sir Benfro</w:t>
            </w:r>
          </w:p>
        </w:tc>
        <w:tc>
          <w:tcPr>
            <w:tcW w:w="1680" w:type="dxa"/>
          </w:tcPr>
          <w:p w14:paraId="3FD777AC" w14:textId="1EEDCAF5" w:rsidR="61096C0A" w:rsidRDefault="61096C0A" w:rsidP="61096C0A">
            <w:pPr>
              <w:jc w:val="center"/>
            </w:pPr>
            <w:r w:rsidRPr="61096C0A">
              <w:rPr>
                <w:rFonts w:ascii="Arial" w:eastAsia="Arial" w:hAnsi="Arial" w:cs="Arial"/>
                <w:sz w:val="20"/>
                <w:szCs w:val="20"/>
              </w:rPr>
              <w:t>35.5%</w:t>
            </w:r>
          </w:p>
        </w:tc>
        <w:tc>
          <w:tcPr>
            <w:tcW w:w="1800" w:type="dxa"/>
          </w:tcPr>
          <w:p w14:paraId="63EA719F" w14:textId="50548CFF" w:rsidR="61096C0A" w:rsidRDefault="61096C0A" w:rsidP="61096C0A">
            <w:pPr>
              <w:jc w:val="center"/>
            </w:pPr>
            <w:r w:rsidRPr="61096C0A">
              <w:rPr>
                <w:rFonts w:ascii="Arial" w:eastAsia="Arial" w:hAnsi="Arial" w:cs="Arial"/>
                <w:sz w:val="20"/>
                <w:szCs w:val="20"/>
              </w:rPr>
              <w:t>7430</w:t>
            </w:r>
          </w:p>
        </w:tc>
      </w:tr>
      <w:tr w:rsidR="61096C0A" w14:paraId="499837E4" w14:textId="77777777" w:rsidTr="61096C0A">
        <w:trPr>
          <w:trHeight w:val="270"/>
        </w:trPr>
        <w:tc>
          <w:tcPr>
            <w:tcW w:w="4455" w:type="dxa"/>
            <w:vAlign w:val="center"/>
          </w:tcPr>
          <w:p w14:paraId="48F7BB0B" w14:textId="6EDAE366" w:rsidR="61096C0A" w:rsidRDefault="61096C0A" w:rsidP="61096C0A">
            <w:pPr>
              <w:jc w:val="right"/>
            </w:pPr>
            <w:r w:rsidRPr="61096C0A">
              <w:rPr>
                <w:rFonts w:ascii="Arial" w:eastAsia="Arial" w:hAnsi="Arial" w:cs="Arial"/>
                <w:sz w:val="20"/>
                <w:szCs w:val="20"/>
              </w:rPr>
              <w:t>Conwy / Conwy</w:t>
            </w:r>
          </w:p>
        </w:tc>
        <w:tc>
          <w:tcPr>
            <w:tcW w:w="1680" w:type="dxa"/>
          </w:tcPr>
          <w:p w14:paraId="371BE0D0" w14:textId="04CE9D09" w:rsidR="61096C0A" w:rsidRDefault="61096C0A" w:rsidP="61096C0A">
            <w:pPr>
              <w:jc w:val="center"/>
            </w:pPr>
            <w:r w:rsidRPr="61096C0A">
              <w:rPr>
                <w:rFonts w:ascii="Arial" w:eastAsia="Arial" w:hAnsi="Arial" w:cs="Arial"/>
                <w:sz w:val="20"/>
                <w:szCs w:val="20"/>
              </w:rPr>
              <w:t>35.4%</w:t>
            </w:r>
          </w:p>
        </w:tc>
        <w:tc>
          <w:tcPr>
            <w:tcW w:w="1800" w:type="dxa"/>
          </w:tcPr>
          <w:p w14:paraId="79DA7B93" w14:textId="649D5560" w:rsidR="61096C0A" w:rsidRDefault="61096C0A" w:rsidP="61096C0A">
            <w:pPr>
              <w:jc w:val="center"/>
            </w:pPr>
            <w:r w:rsidRPr="61096C0A">
              <w:rPr>
                <w:rFonts w:ascii="Arial" w:eastAsia="Arial" w:hAnsi="Arial" w:cs="Arial"/>
                <w:sz w:val="20"/>
                <w:szCs w:val="20"/>
              </w:rPr>
              <w:t>6540</w:t>
            </w:r>
          </w:p>
        </w:tc>
      </w:tr>
      <w:tr w:rsidR="61096C0A" w14:paraId="792D987D" w14:textId="77777777" w:rsidTr="61096C0A">
        <w:trPr>
          <w:trHeight w:val="270"/>
        </w:trPr>
        <w:tc>
          <w:tcPr>
            <w:tcW w:w="4455" w:type="dxa"/>
            <w:vAlign w:val="center"/>
          </w:tcPr>
          <w:p w14:paraId="439D6397" w14:textId="43D82A29" w:rsidR="61096C0A" w:rsidRDefault="61096C0A" w:rsidP="61096C0A">
            <w:pPr>
              <w:jc w:val="right"/>
            </w:pPr>
            <w:r w:rsidRPr="61096C0A">
              <w:rPr>
                <w:rFonts w:ascii="Arial" w:eastAsia="Arial" w:hAnsi="Arial" w:cs="Arial"/>
                <w:sz w:val="20"/>
                <w:szCs w:val="20"/>
              </w:rPr>
              <w:t>Merthyr Tydfil / Merthyr Tudful</w:t>
            </w:r>
          </w:p>
        </w:tc>
        <w:tc>
          <w:tcPr>
            <w:tcW w:w="1680" w:type="dxa"/>
          </w:tcPr>
          <w:p w14:paraId="08C865C2" w14:textId="0ADB6C4F" w:rsidR="61096C0A" w:rsidRDefault="61096C0A" w:rsidP="61096C0A">
            <w:pPr>
              <w:jc w:val="center"/>
            </w:pPr>
            <w:r w:rsidRPr="61096C0A">
              <w:rPr>
                <w:rFonts w:ascii="Arial" w:eastAsia="Arial" w:hAnsi="Arial" w:cs="Arial"/>
                <w:sz w:val="20"/>
                <w:szCs w:val="20"/>
              </w:rPr>
              <w:t>35.2%</w:t>
            </w:r>
          </w:p>
        </w:tc>
        <w:tc>
          <w:tcPr>
            <w:tcW w:w="1800" w:type="dxa"/>
          </w:tcPr>
          <w:p w14:paraId="11841245" w14:textId="6B104B2D" w:rsidR="61096C0A" w:rsidRDefault="61096C0A" w:rsidP="61096C0A">
            <w:pPr>
              <w:jc w:val="center"/>
            </w:pPr>
            <w:r w:rsidRPr="61096C0A">
              <w:rPr>
                <w:rFonts w:ascii="Arial" w:eastAsia="Arial" w:hAnsi="Arial" w:cs="Arial"/>
                <w:sz w:val="20"/>
                <w:szCs w:val="20"/>
              </w:rPr>
              <w:t>3998</w:t>
            </w:r>
          </w:p>
        </w:tc>
      </w:tr>
      <w:tr w:rsidR="61096C0A" w14:paraId="530594C7" w14:textId="77777777" w:rsidTr="61096C0A">
        <w:trPr>
          <w:trHeight w:val="270"/>
        </w:trPr>
        <w:tc>
          <w:tcPr>
            <w:tcW w:w="4455" w:type="dxa"/>
            <w:vAlign w:val="center"/>
          </w:tcPr>
          <w:p w14:paraId="4BEFB2CC" w14:textId="6DAF7D7F" w:rsidR="61096C0A" w:rsidRDefault="61096C0A" w:rsidP="61096C0A">
            <w:pPr>
              <w:jc w:val="right"/>
            </w:pPr>
            <w:r w:rsidRPr="61096C0A">
              <w:rPr>
                <w:rFonts w:ascii="Arial" w:eastAsia="Arial" w:hAnsi="Arial" w:cs="Arial"/>
                <w:sz w:val="20"/>
                <w:szCs w:val="20"/>
              </w:rPr>
              <w:t>Ceredigion / Ceredigion</w:t>
            </w:r>
          </w:p>
        </w:tc>
        <w:tc>
          <w:tcPr>
            <w:tcW w:w="1680" w:type="dxa"/>
          </w:tcPr>
          <w:p w14:paraId="0BFB1D41" w14:textId="4B955A53" w:rsidR="61096C0A" w:rsidRDefault="61096C0A" w:rsidP="61096C0A">
            <w:pPr>
              <w:jc w:val="center"/>
            </w:pPr>
            <w:r w:rsidRPr="61096C0A">
              <w:rPr>
                <w:rFonts w:ascii="Arial" w:eastAsia="Arial" w:hAnsi="Arial" w:cs="Arial"/>
                <w:sz w:val="20"/>
                <w:szCs w:val="20"/>
              </w:rPr>
              <w:t>35.1%</w:t>
            </w:r>
          </w:p>
        </w:tc>
        <w:tc>
          <w:tcPr>
            <w:tcW w:w="1800" w:type="dxa"/>
          </w:tcPr>
          <w:p w14:paraId="7BC843EB" w14:textId="7DD99ABF" w:rsidR="61096C0A" w:rsidRDefault="61096C0A" w:rsidP="61096C0A">
            <w:pPr>
              <w:jc w:val="center"/>
            </w:pPr>
            <w:r w:rsidRPr="61096C0A">
              <w:rPr>
                <w:rFonts w:ascii="Arial" w:eastAsia="Arial" w:hAnsi="Arial" w:cs="Arial"/>
                <w:sz w:val="20"/>
                <w:szCs w:val="20"/>
              </w:rPr>
              <w:t>3712</w:t>
            </w:r>
          </w:p>
        </w:tc>
      </w:tr>
      <w:tr w:rsidR="61096C0A" w14:paraId="2B723903" w14:textId="77777777" w:rsidTr="61096C0A">
        <w:trPr>
          <w:trHeight w:val="270"/>
        </w:trPr>
        <w:tc>
          <w:tcPr>
            <w:tcW w:w="4455" w:type="dxa"/>
            <w:vAlign w:val="center"/>
          </w:tcPr>
          <w:p w14:paraId="6D18CB6A" w14:textId="5DABD8D6" w:rsidR="61096C0A" w:rsidRDefault="61096C0A" w:rsidP="61096C0A">
            <w:pPr>
              <w:jc w:val="right"/>
              <w:rPr>
                <w:rFonts w:ascii="Arial" w:eastAsia="Arial" w:hAnsi="Arial" w:cs="Arial"/>
                <w:sz w:val="20"/>
                <w:szCs w:val="20"/>
              </w:rPr>
            </w:pPr>
            <w:r w:rsidRPr="61096C0A">
              <w:rPr>
                <w:rFonts w:ascii="Arial" w:eastAsia="Arial" w:hAnsi="Arial" w:cs="Arial"/>
                <w:sz w:val="20"/>
                <w:szCs w:val="20"/>
              </w:rPr>
              <w:t>Rhondda Cynon Taf / Rhondda Cynon Taf</w:t>
            </w:r>
          </w:p>
        </w:tc>
        <w:tc>
          <w:tcPr>
            <w:tcW w:w="1680" w:type="dxa"/>
          </w:tcPr>
          <w:p w14:paraId="288E78C6" w14:textId="4A5E1D5E" w:rsidR="61096C0A" w:rsidRDefault="61096C0A" w:rsidP="61096C0A">
            <w:pPr>
              <w:jc w:val="center"/>
            </w:pPr>
            <w:r w:rsidRPr="61096C0A">
              <w:rPr>
                <w:rFonts w:ascii="Arial" w:eastAsia="Arial" w:hAnsi="Arial" w:cs="Arial"/>
                <w:sz w:val="20"/>
                <w:szCs w:val="20"/>
              </w:rPr>
              <w:t>35.1%</w:t>
            </w:r>
          </w:p>
        </w:tc>
        <w:tc>
          <w:tcPr>
            <w:tcW w:w="1800" w:type="dxa"/>
          </w:tcPr>
          <w:p w14:paraId="79C87CC9" w14:textId="042B5C59" w:rsidR="61096C0A" w:rsidRDefault="61096C0A" w:rsidP="61096C0A">
            <w:pPr>
              <w:jc w:val="center"/>
            </w:pPr>
            <w:r w:rsidRPr="61096C0A">
              <w:rPr>
                <w:rFonts w:ascii="Arial" w:eastAsia="Arial" w:hAnsi="Arial" w:cs="Arial"/>
                <w:sz w:val="20"/>
                <w:szCs w:val="20"/>
              </w:rPr>
              <w:t>15421</w:t>
            </w:r>
          </w:p>
        </w:tc>
      </w:tr>
      <w:tr w:rsidR="61096C0A" w14:paraId="5B546846" w14:textId="77777777" w:rsidTr="61096C0A">
        <w:trPr>
          <w:trHeight w:val="270"/>
        </w:trPr>
        <w:tc>
          <w:tcPr>
            <w:tcW w:w="4455" w:type="dxa"/>
            <w:vAlign w:val="center"/>
          </w:tcPr>
          <w:p w14:paraId="007DAB3D" w14:textId="37F1E8D2" w:rsidR="61096C0A" w:rsidRDefault="61096C0A" w:rsidP="61096C0A">
            <w:pPr>
              <w:jc w:val="right"/>
              <w:rPr>
                <w:rFonts w:ascii="Arial" w:eastAsia="Arial" w:hAnsi="Arial" w:cs="Arial"/>
                <w:sz w:val="20"/>
                <w:szCs w:val="20"/>
              </w:rPr>
            </w:pPr>
            <w:r w:rsidRPr="61096C0A">
              <w:rPr>
                <w:rFonts w:ascii="Arial" w:eastAsia="Arial" w:hAnsi="Arial" w:cs="Arial"/>
                <w:sz w:val="20"/>
                <w:szCs w:val="20"/>
              </w:rPr>
              <w:t>Denbighshire / Sir Ddinbych</w:t>
            </w:r>
          </w:p>
        </w:tc>
        <w:tc>
          <w:tcPr>
            <w:tcW w:w="1680" w:type="dxa"/>
          </w:tcPr>
          <w:p w14:paraId="745300D0" w14:textId="1E9349BB" w:rsidR="61096C0A" w:rsidRDefault="61096C0A" w:rsidP="61096C0A">
            <w:pPr>
              <w:jc w:val="center"/>
            </w:pPr>
            <w:r w:rsidRPr="61096C0A">
              <w:rPr>
                <w:rFonts w:ascii="Arial" w:eastAsia="Arial" w:hAnsi="Arial" w:cs="Arial"/>
                <w:sz w:val="20"/>
                <w:szCs w:val="20"/>
              </w:rPr>
              <w:t>34.9%</w:t>
            </w:r>
          </w:p>
        </w:tc>
        <w:tc>
          <w:tcPr>
            <w:tcW w:w="1800" w:type="dxa"/>
          </w:tcPr>
          <w:p w14:paraId="18B8A521" w14:textId="4F3A9669" w:rsidR="61096C0A" w:rsidRDefault="61096C0A" w:rsidP="61096C0A">
            <w:pPr>
              <w:jc w:val="center"/>
            </w:pPr>
            <w:r w:rsidRPr="61096C0A">
              <w:rPr>
                <w:rFonts w:ascii="Arial" w:eastAsia="Arial" w:hAnsi="Arial" w:cs="Arial"/>
                <w:sz w:val="20"/>
                <w:szCs w:val="20"/>
              </w:rPr>
              <w:t>5934</w:t>
            </w:r>
          </w:p>
        </w:tc>
      </w:tr>
      <w:tr w:rsidR="61096C0A" w14:paraId="73CACD07" w14:textId="77777777" w:rsidTr="61096C0A">
        <w:trPr>
          <w:trHeight w:val="270"/>
        </w:trPr>
        <w:tc>
          <w:tcPr>
            <w:tcW w:w="4455" w:type="dxa"/>
            <w:vAlign w:val="center"/>
          </w:tcPr>
          <w:p w14:paraId="58EEF314" w14:textId="213F358C" w:rsidR="61096C0A" w:rsidRDefault="61096C0A" w:rsidP="61096C0A">
            <w:pPr>
              <w:jc w:val="right"/>
              <w:rPr>
                <w:rFonts w:ascii="Arial" w:eastAsia="Arial" w:hAnsi="Arial" w:cs="Arial"/>
                <w:sz w:val="20"/>
                <w:szCs w:val="20"/>
              </w:rPr>
            </w:pPr>
            <w:r w:rsidRPr="61096C0A">
              <w:rPr>
                <w:rFonts w:ascii="Arial" w:eastAsia="Arial" w:hAnsi="Arial" w:cs="Arial"/>
                <w:sz w:val="20"/>
                <w:szCs w:val="20"/>
              </w:rPr>
              <w:t>Caerphilly / Caerffili</w:t>
            </w:r>
          </w:p>
        </w:tc>
        <w:tc>
          <w:tcPr>
            <w:tcW w:w="1680" w:type="dxa"/>
          </w:tcPr>
          <w:p w14:paraId="5FDB57D6" w14:textId="14ED02E4" w:rsidR="61096C0A" w:rsidRDefault="61096C0A" w:rsidP="61096C0A">
            <w:pPr>
              <w:jc w:val="center"/>
            </w:pPr>
            <w:r w:rsidRPr="61096C0A">
              <w:rPr>
                <w:rFonts w:ascii="Arial" w:eastAsia="Arial" w:hAnsi="Arial" w:cs="Arial"/>
                <w:sz w:val="20"/>
                <w:szCs w:val="20"/>
              </w:rPr>
              <w:t>34.7%</w:t>
            </w:r>
          </w:p>
        </w:tc>
        <w:tc>
          <w:tcPr>
            <w:tcW w:w="1800" w:type="dxa"/>
          </w:tcPr>
          <w:p w14:paraId="2FCE0192" w14:textId="52C38868" w:rsidR="61096C0A" w:rsidRDefault="61096C0A" w:rsidP="61096C0A">
            <w:pPr>
              <w:jc w:val="center"/>
            </w:pPr>
            <w:r w:rsidRPr="61096C0A">
              <w:rPr>
                <w:rFonts w:ascii="Arial" w:eastAsia="Arial" w:hAnsi="Arial" w:cs="Arial"/>
                <w:sz w:val="20"/>
                <w:szCs w:val="20"/>
              </w:rPr>
              <w:t>11359</w:t>
            </w:r>
          </w:p>
        </w:tc>
      </w:tr>
      <w:tr w:rsidR="61096C0A" w14:paraId="4D4F31CC" w14:textId="77777777" w:rsidTr="61096C0A">
        <w:trPr>
          <w:trHeight w:val="270"/>
        </w:trPr>
        <w:tc>
          <w:tcPr>
            <w:tcW w:w="4455" w:type="dxa"/>
            <w:vAlign w:val="center"/>
          </w:tcPr>
          <w:p w14:paraId="54D34B35" w14:textId="6A78C7CF" w:rsidR="61096C0A" w:rsidRDefault="61096C0A" w:rsidP="61096C0A">
            <w:pPr>
              <w:jc w:val="right"/>
              <w:rPr>
                <w:rFonts w:ascii="Arial" w:eastAsia="Arial" w:hAnsi="Arial" w:cs="Arial"/>
                <w:sz w:val="20"/>
                <w:szCs w:val="20"/>
              </w:rPr>
            </w:pPr>
            <w:r w:rsidRPr="61096C0A">
              <w:rPr>
                <w:rFonts w:ascii="Arial" w:eastAsia="Arial" w:hAnsi="Arial" w:cs="Arial"/>
                <w:sz w:val="20"/>
                <w:szCs w:val="20"/>
              </w:rPr>
              <w:t>Carmarthenshire / Sir Gaerfyrddin</w:t>
            </w:r>
          </w:p>
        </w:tc>
        <w:tc>
          <w:tcPr>
            <w:tcW w:w="1680" w:type="dxa"/>
          </w:tcPr>
          <w:p w14:paraId="7FC17EE2" w14:textId="1AD4458C" w:rsidR="61096C0A" w:rsidRDefault="61096C0A" w:rsidP="61096C0A">
            <w:pPr>
              <w:jc w:val="center"/>
            </w:pPr>
            <w:r w:rsidRPr="61096C0A">
              <w:rPr>
                <w:rFonts w:ascii="Arial" w:eastAsia="Arial" w:hAnsi="Arial" w:cs="Arial"/>
                <w:sz w:val="20"/>
                <w:szCs w:val="20"/>
              </w:rPr>
              <w:t>34.6%</w:t>
            </w:r>
          </w:p>
        </w:tc>
        <w:tc>
          <w:tcPr>
            <w:tcW w:w="1800" w:type="dxa"/>
          </w:tcPr>
          <w:p w14:paraId="74012953" w14:textId="0E8686BC" w:rsidR="61096C0A" w:rsidRDefault="61096C0A" w:rsidP="61096C0A">
            <w:pPr>
              <w:jc w:val="center"/>
            </w:pPr>
            <w:r w:rsidRPr="61096C0A">
              <w:rPr>
                <w:rFonts w:ascii="Arial" w:eastAsia="Arial" w:hAnsi="Arial" w:cs="Arial"/>
                <w:sz w:val="20"/>
                <w:szCs w:val="20"/>
              </w:rPr>
              <w:t>11247</w:t>
            </w:r>
          </w:p>
        </w:tc>
      </w:tr>
      <w:tr w:rsidR="61096C0A" w14:paraId="1874E64E" w14:textId="77777777" w:rsidTr="61096C0A">
        <w:trPr>
          <w:trHeight w:val="270"/>
        </w:trPr>
        <w:tc>
          <w:tcPr>
            <w:tcW w:w="4455" w:type="dxa"/>
            <w:vAlign w:val="center"/>
          </w:tcPr>
          <w:p w14:paraId="52A4DD9F" w14:textId="50128660" w:rsidR="61096C0A" w:rsidRDefault="61096C0A" w:rsidP="61096C0A">
            <w:pPr>
              <w:jc w:val="right"/>
            </w:pPr>
            <w:r w:rsidRPr="61096C0A">
              <w:rPr>
                <w:rFonts w:ascii="Arial" w:eastAsia="Arial" w:hAnsi="Arial" w:cs="Arial"/>
                <w:sz w:val="20"/>
                <w:szCs w:val="20"/>
              </w:rPr>
              <w:t>Gwynedd / Gwynedd</w:t>
            </w:r>
          </w:p>
        </w:tc>
        <w:tc>
          <w:tcPr>
            <w:tcW w:w="1680" w:type="dxa"/>
          </w:tcPr>
          <w:p w14:paraId="0C10B3DD" w14:textId="4889AD5B" w:rsidR="61096C0A" w:rsidRDefault="61096C0A" w:rsidP="61096C0A">
            <w:pPr>
              <w:jc w:val="center"/>
            </w:pPr>
            <w:r w:rsidRPr="61096C0A">
              <w:rPr>
                <w:rFonts w:ascii="Arial" w:eastAsia="Arial" w:hAnsi="Arial" w:cs="Arial"/>
                <w:sz w:val="20"/>
                <w:szCs w:val="20"/>
              </w:rPr>
              <w:t>34.4%</w:t>
            </w:r>
          </w:p>
        </w:tc>
        <w:tc>
          <w:tcPr>
            <w:tcW w:w="1800" w:type="dxa"/>
          </w:tcPr>
          <w:p w14:paraId="112B4160" w14:textId="247F69ED" w:rsidR="61096C0A" w:rsidRDefault="61096C0A" w:rsidP="61096C0A">
            <w:pPr>
              <w:jc w:val="center"/>
            </w:pPr>
            <w:r w:rsidRPr="61096C0A">
              <w:rPr>
                <w:rFonts w:ascii="Arial" w:eastAsia="Arial" w:hAnsi="Arial" w:cs="Arial"/>
                <w:sz w:val="20"/>
                <w:szCs w:val="20"/>
              </w:rPr>
              <w:t>6997</w:t>
            </w:r>
          </w:p>
        </w:tc>
      </w:tr>
      <w:tr w:rsidR="61096C0A" w14:paraId="0FB5C3B5" w14:textId="77777777" w:rsidTr="61096C0A">
        <w:trPr>
          <w:trHeight w:val="270"/>
        </w:trPr>
        <w:tc>
          <w:tcPr>
            <w:tcW w:w="4455" w:type="dxa"/>
            <w:vAlign w:val="center"/>
          </w:tcPr>
          <w:p w14:paraId="6F80132F" w14:textId="306A8C82" w:rsidR="61096C0A" w:rsidRDefault="61096C0A" w:rsidP="61096C0A">
            <w:pPr>
              <w:jc w:val="right"/>
              <w:rPr>
                <w:rFonts w:ascii="Arial" w:eastAsia="Arial" w:hAnsi="Arial" w:cs="Arial"/>
                <w:sz w:val="20"/>
                <w:szCs w:val="20"/>
              </w:rPr>
            </w:pPr>
            <w:r w:rsidRPr="61096C0A">
              <w:rPr>
                <w:rFonts w:ascii="Arial" w:eastAsia="Arial" w:hAnsi="Arial" w:cs="Arial"/>
                <w:sz w:val="20"/>
                <w:szCs w:val="20"/>
              </w:rPr>
              <w:t>Torfaen / Tor-faen</w:t>
            </w:r>
          </w:p>
        </w:tc>
        <w:tc>
          <w:tcPr>
            <w:tcW w:w="1680" w:type="dxa"/>
          </w:tcPr>
          <w:p w14:paraId="49381652" w14:textId="534F2271" w:rsidR="61096C0A" w:rsidRDefault="61096C0A" w:rsidP="61096C0A">
            <w:pPr>
              <w:jc w:val="center"/>
            </w:pPr>
            <w:r w:rsidRPr="61096C0A">
              <w:rPr>
                <w:rFonts w:ascii="Arial" w:eastAsia="Arial" w:hAnsi="Arial" w:cs="Arial"/>
                <w:sz w:val="20"/>
                <w:szCs w:val="20"/>
              </w:rPr>
              <w:t>34.4%</w:t>
            </w:r>
          </w:p>
        </w:tc>
        <w:tc>
          <w:tcPr>
            <w:tcW w:w="1800" w:type="dxa"/>
          </w:tcPr>
          <w:p w14:paraId="49CDE584" w14:textId="57794E43" w:rsidR="61096C0A" w:rsidRDefault="61096C0A" w:rsidP="61096C0A">
            <w:pPr>
              <w:jc w:val="center"/>
            </w:pPr>
            <w:r w:rsidRPr="61096C0A">
              <w:rPr>
                <w:rFonts w:ascii="Arial" w:eastAsia="Arial" w:hAnsi="Arial" w:cs="Arial"/>
                <w:sz w:val="20"/>
                <w:szCs w:val="20"/>
              </w:rPr>
              <w:t>5880</w:t>
            </w:r>
          </w:p>
        </w:tc>
      </w:tr>
      <w:tr w:rsidR="61096C0A" w14:paraId="6D91CBF4" w14:textId="77777777" w:rsidTr="61096C0A">
        <w:trPr>
          <w:trHeight w:val="270"/>
        </w:trPr>
        <w:tc>
          <w:tcPr>
            <w:tcW w:w="4455" w:type="dxa"/>
            <w:vAlign w:val="center"/>
          </w:tcPr>
          <w:p w14:paraId="34C10AA0" w14:textId="46B2DEEA" w:rsidR="61096C0A" w:rsidRDefault="61096C0A" w:rsidP="61096C0A">
            <w:pPr>
              <w:jc w:val="right"/>
            </w:pPr>
            <w:r w:rsidRPr="61096C0A">
              <w:rPr>
                <w:rFonts w:ascii="Arial" w:eastAsia="Arial" w:hAnsi="Arial" w:cs="Arial"/>
                <w:sz w:val="20"/>
                <w:szCs w:val="20"/>
              </w:rPr>
              <w:t>Neath Port Talbot / Castell-nedd Port Talbot</w:t>
            </w:r>
          </w:p>
        </w:tc>
        <w:tc>
          <w:tcPr>
            <w:tcW w:w="1680" w:type="dxa"/>
          </w:tcPr>
          <w:p w14:paraId="056783E6" w14:textId="51A1D758" w:rsidR="61096C0A" w:rsidRDefault="61096C0A" w:rsidP="61096C0A">
            <w:pPr>
              <w:jc w:val="center"/>
            </w:pPr>
            <w:r w:rsidRPr="61096C0A">
              <w:rPr>
                <w:rFonts w:ascii="Arial" w:eastAsia="Arial" w:hAnsi="Arial" w:cs="Arial"/>
                <w:sz w:val="20"/>
                <w:szCs w:val="20"/>
              </w:rPr>
              <w:t>33.5%</w:t>
            </w:r>
          </w:p>
        </w:tc>
        <w:tc>
          <w:tcPr>
            <w:tcW w:w="1800" w:type="dxa"/>
          </w:tcPr>
          <w:p w14:paraId="47CC2AE2" w14:textId="424C87F7" w:rsidR="61096C0A" w:rsidRDefault="61096C0A" w:rsidP="61096C0A">
            <w:pPr>
              <w:jc w:val="center"/>
            </w:pPr>
            <w:r w:rsidRPr="61096C0A">
              <w:rPr>
                <w:rFonts w:ascii="Arial" w:eastAsia="Arial" w:hAnsi="Arial" w:cs="Arial"/>
                <w:sz w:val="20"/>
                <w:szCs w:val="20"/>
              </w:rPr>
              <w:t>8221</w:t>
            </w:r>
          </w:p>
        </w:tc>
      </w:tr>
      <w:tr w:rsidR="61096C0A" w14:paraId="426D0941" w14:textId="77777777" w:rsidTr="61096C0A">
        <w:trPr>
          <w:trHeight w:val="270"/>
        </w:trPr>
        <w:tc>
          <w:tcPr>
            <w:tcW w:w="4455" w:type="dxa"/>
            <w:vAlign w:val="center"/>
          </w:tcPr>
          <w:p w14:paraId="1652129C" w14:textId="0023A378" w:rsidR="61096C0A" w:rsidRDefault="61096C0A" w:rsidP="61096C0A">
            <w:pPr>
              <w:jc w:val="right"/>
            </w:pPr>
            <w:r w:rsidRPr="61096C0A">
              <w:rPr>
                <w:rFonts w:ascii="Arial" w:eastAsia="Arial" w:hAnsi="Arial" w:cs="Arial"/>
                <w:sz w:val="20"/>
                <w:szCs w:val="20"/>
              </w:rPr>
              <w:t>Wrexham / Wrecsam</w:t>
            </w:r>
          </w:p>
        </w:tc>
        <w:tc>
          <w:tcPr>
            <w:tcW w:w="1680" w:type="dxa"/>
          </w:tcPr>
          <w:p w14:paraId="656D687B" w14:textId="3346AD80" w:rsidR="61096C0A" w:rsidRDefault="61096C0A" w:rsidP="61096C0A">
            <w:pPr>
              <w:jc w:val="center"/>
            </w:pPr>
            <w:r w:rsidRPr="61096C0A">
              <w:rPr>
                <w:rFonts w:ascii="Arial" w:eastAsia="Arial" w:hAnsi="Arial" w:cs="Arial"/>
                <w:sz w:val="20"/>
                <w:szCs w:val="20"/>
              </w:rPr>
              <w:t>33.4%</w:t>
            </w:r>
          </w:p>
        </w:tc>
        <w:tc>
          <w:tcPr>
            <w:tcW w:w="1800" w:type="dxa"/>
          </w:tcPr>
          <w:p w14:paraId="63F130E2" w14:textId="2E0A032A" w:rsidR="61096C0A" w:rsidRDefault="61096C0A" w:rsidP="61096C0A">
            <w:pPr>
              <w:jc w:val="center"/>
            </w:pPr>
            <w:r w:rsidRPr="61096C0A">
              <w:rPr>
                <w:rFonts w:ascii="Arial" w:eastAsia="Arial" w:hAnsi="Arial" w:cs="Arial"/>
                <w:sz w:val="20"/>
                <w:szCs w:val="20"/>
              </w:rPr>
              <w:t>8465</w:t>
            </w:r>
          </w:p>
        </w:tc>
      </w:tr>
      <w:tr w:rsidR="61096C0A" w14:paraId="3D653725" w14:textId="77777777" w:rsidTr="61096C0A">
        <w:trPr>
          <w:trHeight w:val="270"/>
        </w:trPr>
        <w:tc>
          <w:tcPr>
            <w:tcW w:w="4455" w:type="dxa"/>
            <w:vAlign w:val="center"/>
          </w:tcPr>
          <w:p w14:paraId="6066496F" w14:textId="260D20BE" w:rsidR="61096C0A" w:rsidRDefault="61096C0A" w:rsidP="61096C0A">
            <w:pPr>
              <w:jc w:val="right"/>
            </w:pPr>
            <w:r w:rsidRPr="61096C0A">
              <w:rPr>
                <w:rFonts w:ascii="Arial" w:eastAsia="Arial" w:hAnsi="Arial" w:cs="Arial"/>
                <w:sz w:val="20"/>
                <w:szCs w:val="20"/>
              </w:rPr>
              <w:t>Powys / Powys</w:t>
            </w:r>
          </w:p>
        </w:tc>
        <w:tc>
          <w:tcPr>
            <w:tcW w:w="1680" w:type="dxa"/>
          </w:tcPr>
          <w:p w14:paraId="02C62481" w14:textId="027168F1" w:rsidR="61096C0A" w:rsidRDefault="61096C0A" w:rsidP="61096C0A">
            <w:pPr>
              <w:jc w:val="center"/>
            </w:pPr>
            <w:r w:rsidRPr="61096C0A">
              <w:rPr>
                <w:rFonts w:ascii="Arial" w:eastAsia="Arial" w:hAnsi="Arial" w:cs="Arial"/>
                <w:sz w:val="20"/>
                <w:szCs w:val="20"/>
              </w:rPr>
              <w:t>33.3%</w:t>
            </w:r>
          </w:p>
        </w:tc>
        <w:tc>
          <w:tcPr>
            <w:tcW w:w="1800" w:type="dxa"/>
          </w:tcPr>
          <w:p w14:paraId="74821487" w14:textId="33468C9E" w:rsidR="61096C0A" w:rsidRDefault="61096C0A" w:rsidP="61096C0A">
            <w:pPr>
              <w:jc w:val="center"/>
            </w:pPr>
            <w:r w:rsidRPr="61096C0A">
              <w:rPr>
                <w:rFonts w:ascii="Arial" w:eastAsia="Arial" w:hAnsi="Arial" w:cs="Arial"/>
                <w:sz w:val="20"/>
                <w:szCs w:val="20"/>
              </w:rPr>
              <w:t>6880</w:t>
            </w:r>
          </w:p>
        </w:tc>
      </w:tr>
      <w:tr w:rsidR="61096C0A" w14:paraId="1EF7AEC4" w14:textId="77777777" w:rsidTr="61096C0A">
        <w:trPr>
          <w:trHeight w:val="270"/>
        </w:trPr>
        <w:tc>
          <w:tcPr>
            <w:tcW w:w="4455" w:type="dxa"/>
            <w:vAlign w:val="center"/>
          </w:tcPr>
          <w:p w14:paraId="6A7E1024" w14:textId="529FED97" w:rsidR="61096C0A" w:rsidRDefault="61096C0A" w:rsidP="61096C0A">
            <w:pPr>
              <w:jc w:val="right"/>
              <w:rPr>
                <w:rFonts w:ascii="Arial" w:eastAsia="Arial" w:hAnsi="Arial" w:cs="Arial"/>
                <w:sz w:val="20"/>
                <w:szCs w:val="20"/>
              </w:rPr>
            </w:pPr>
            <w:r w:rsidRPr="61096C0A">
              <w:rPr>
                <w:rFonts w:ascii="Arial" w:eastAsia="Arial" w:hAnsi="Arial" w:cs="Arial"/>
                <w:sz w:val="20"/>
                <w:szCs w:val="20"/>
              </w:rPr>
              <w:t>Bridgend / Pen-y-bont ar Ogwr</w:t>
            </w:r>
          </w:p>
        </w:tc>
        <w:tc>
          <w:tcPr>
            <w:tcW w:w="1680" w:type="dxa"/>
          </w:tcPr>
          <w:p w14:paraId="3ED6D2F3" w14:textId="3965FAF1" w:rsidR="61096C0A" w:rsidRDefault="61096C0A" w:rsidP="61096C0A">
            <w:pPr>
              <w:jc w:val="center"/>
            </w:pPr>
            <w:r w:rsidRPr="61096C0A">
              <w:rPr>
                <w:rFonts w:ascii="Arial" w:eastAsia="Arial" w:hAnsi="Arial" w:cs="Arial"/>
                <w:sz w:val="20"/>
                <w:szCs w:val="20"/>
              </w:rPr>
              <w:t>33.1%</w:t>
            </w:r>
          </w:p>
        </w:tc>
        <w:tc>
          <w:tcPr>
            <w:tcW w:w="1800" w:type="dxa"/>
          </w:tcPr>
          <w:p w14:paraId="0258709E" w14:textId="5C75AA1F" w:rsidR="61096C0A" w:rsidRDefault="61096C0A" w:rsidP="61096C0A">
            <w:pPr>
              <w:jc w:val="center"/>
            </w:pPr>
            <w:r w:rsidRPr="61096C0A">
              <w:rPr>
                <w:rFonts w:ascii="Arial" w:eastAsia="Arial" w:hAnsi="Arial" w:cs="Arial"/>
                <w:sz w:val="20"/>
                <w:szCs w:val="20"/>
              </w:rPr>
              <w:t>8472</w:t>
            </w:r>
          </w:p>
        </w:tc>
      </w:tr>
      <w:tr w:rsidR="61096C0A" w14:paraId="74601AAF" w14:textId="77777777" w:rsidTr="61096C0A">
        <w:trPr>
          <w:trHeight w:val="270"/>
        </w:trPr>
        <w:tc>
          <w:tcPr>
            <w:tcW w:w="4455" w:type="dxa"/>
            <w:vAlign w:val="center"/>
          </w:tcPr>
          <w:p w14:paraId="5E18CD03" w14:textId="48E6C888" w:rsidR="61096C0A" w:rsidRDefault="61096C0A" w:rsidP="61096C0A">
            <w:pPr>
              <w:jc w:val="right"/>
            </w:pPr>
            <w:r w:rsidRPr="61096C0A">
              <w:rPr>
                <w:rFonts w:ascii="Arial" w:eastAsia="Arial" w:hAnsi="Arial" w:cs="Arial"/>
                <w:sz w:val="20"/>
                <w:szCs w:val="20"/>
              </w:rPr>
              <w:t>Swansea / Abertawe</w:t>
            </w:r>
          </w:p>
        </w:tc>
        <w:tc>
          <w:tcPr>
            <w:tcW w:w="1680" w:type="dxa"/>
          </w:tcPr>
          <w:p w14:paraId="6C7DB270" w14:textId="48EB8543" w:rsidR="61096C0A" w:rsidRDefault="61096C0A" w:rsidP="61096C0A">
            <w:pPr>
              <w:jc w:val="center"/>
            </w:pPr>
            <w:r w:rsidRPr="61096C0A">
              <w:rPr>
                <w:rFonts w:ascii="Arial" w:eastAsia="Arial" w:hAnsi="Arial" w:cs="Arial"/>
                <w:sz w:val="20"/>
                <w:szCs w:val="20"/>
              </w:rPr>
              <w:t>32.7%</w:t>
            </w:r>
          </w:p>
        </w:tc>
        <w:tc>
          <w:tcPr>
            <w:tcW w:w="1800" w:type="dxa"/>
          </w:tcPr>
          <w:p w14:paraId="0F0CB9C7" w14:textId="4018B658" w:rsidR="61096C0A" w:rsidRDefault="61096C0A" w:rsidP="61096C0A">
            <w:pPr>
              <w:jc w:val="center"/>
            </w:pPr>
            <w:r w:rsidRPr="61096C0A">
              <w:rPr>
                <w:rFonts w:ascii="Arial" w:eastAsia="Arial" w:hAnsi="Arial" w:cs="Arial"/>
                <w:sz w:val="20"/>
                <w:szCs w:val="20"/>
              </w:rPr>
              <w:t>13325</w:t>
            </w:r>
          </w:p>
        </w:tc>
      </w:tr>
      <w:tr w:rsidR="61096C0A" w14:paraId="503F3175" w14:textId="77777777" w:rsidTr="61096C0A">
        <w:trPr>
          <w:trHeight w:val="270"/>
        </w:trPr>
        <w:tc>
          <w:tcPr>
            <w:tcW w:w="4455" w:type="dxa"/>
            <w:vAlign w:val="center"/>
          </w:tcPr>
          <w:p w14:paraId="6C0C2CCE" w14:textId="5D95DB83" w:rsidR="61096C0A" w:rsidRDefault="61096C0A" w:rsidP="61096C0A">
            <w:pPr>
              <w:jc w:val="right"/>
              <w:rPr>
                <w:rFonts w:ascii="Arial" w:eastAsia="Arial" w:hAnsi="Arial" w:cs="Arial"/>
                <w:sz w:val="20"/>
                <w:szCs w:val="20"/>
              </w:rPr>
            </w:pPr>
            <w:r w:rsidRPr="61096C0A">
              <w:rPr>
                <w:rFonts w:ascii="Arial" w:eastAsia="Arial" w:hAnsi="Arial" w:cs="Arial"/>
                <w:sz w:val="20"/>
                <w:szCs w:val="20"/>
              </w:rPr>
              <w:t>Flintshire / Sir y Fflint</w:t>
            </w:r>
          </w:p>
        </w:tc>
        <w:tc>
          <w:tcPr>
            <w:tcW w:w="1680" w:type="dxa"/>
          </w:tcPr>
          <w:p w14:paraId="6334E255" w14:textId="5726F0BF" w:rsidR="61096C0A" w:rsidRDefault="61096C0A" w:rsidP="61096C0A">
            <w:pPr>
              <w:jc w:val="center"/>
            </w:pPr>
            <w:r w:rsidRPr="61096C0A">
              <w:rPr>
                <w:rFonts w:ascii="Arial" w:eastAsia="Arial" w:hAnsi="Arial" w:cs="Arial"/>
                <w:sz w:val="20"/>
                <w:szCs w:val="20"/>
              </w:rPr>
              <w:t>30.8%</w:t>
            </w:r>
          </w:p>
        </w:tc>
        <w:tc>
          <w:tcPr>
            <w:tcW w:w="1800" w:type="dxa"/>
          </w:tcPr>
          <w:p w14:paraId="1386957A" w14:textId="6117A709" w:rsidR="61096C0A" w:rsidRDefault="61096C0A" w:rsidP="61096C0A">
            <w:pPr>
              <w:jc w:val="center"/>
            </w:pPr>
            <w:r w:rsidRPr="61096C0A">
              <w:rPr>
                <w:rFonts w:ascii="Arial" w:eastAsia="Arial" w:hAnsi="Arial" w:cs="Arial"/>
                <w:sz w:val="20"/>
                <w:szCs w:val="20"/>
              </w:rPr>
              <w:t>8688</w:t>
            </w:r>
          </w:p>
        </w:tc>
      </w:tr>
      <w:tr w:rsidR="61096C0A" w14:paraId="0357454F" w14:textId="77777777" w:rsidTr="61096C0A">
        <w:trPr>
          <w:trHeight w:val="270"/>
        </w:trPr>
        <w:tc>
          <w:tcPr>
            <w:tcW w:w="4455" w:type="dxa"/>
            <w:vAlign w:val="center"/>
          </w:tcPr>
          <w:p w14:paraId="632A61F4" w14:textId="6EFE8B59" w:rsidR="61096C0A" w:rsidRDefault="61096C0A" w:rsidP="61096C0A">
            <w:pPr>
              <w:jc w:val="right"/>
            </w:pPr>
            <w:r w:rsidRPr="61096C0A">
              <w:rPr>
                <w:rFonts w:ascii="Arial" w:eastAsia="Arial" w:hAnsi="Arial" w:cs="Arial"/>
                <w:sz w:val="20"/>
                <w:szCs w:val="20"/>
              </w:rPr>
              <w:t>Vale of Glamorgan / Bro Morgannwg</w:t>
            </w:r>
          </w:p>
        </w:tc>
        <w:tc>
          <w:tcPr>
            <w:tcW w:w="1680" w:type="dxa"/>
          </w:tcPr>
          <w:p w14:paraId="0BDF395C" w14:textId="7AC64600" w:rsidR="61096C0A" w:rsidRDefault="61096C0A" w:rsidP="61096C0A">
            <w:pPr>
              <w:jc w:val="center"/>
            </w:pPr>
            <w:r w:rsidRPr="61096C0A">
              <w:rPr>
                <w:rFonts w:ascii="Arial" w:eastAsia="Arial" w:hAnsi="Arial" w:cs="Arial"/>
                <w:sz w:val="20"/>
                <w:szCs w:val="20"/>
              </w:rPr>
              <w:t>28.9%</w:t>
            </w:r>
          </w:p>
        </w:tc>
        <w:tc>
          <w:tcPr>
            <w:tcW w:w="1800" w:type="dxa"/>
          </w:tcPr>
          <w:p w14:paraId="2CF67976" w14:textId="513BD259" w:rsidR="61096C0A" w:rsidRDefault="61096C0A" w:rsidP="61096C0A">
            <w:pPr>
              <w:jc w:val="center"/>
            </w:pPr>
            <w:r w:rsidRPr="61096C0A">
              <w:rPr>
                <w:rFonts w:ascii="Arial" w:eastAsia="Arial" w:hAnsi="Arial" w:cs="Arial"/>
                <w:sz w:val="20"/>
                <w:szCs w:val="20"/>
              </w:rPr>
              <w:t>7044</w:t>
            </w:r>
          </w:p>
        </w:tc>
      </w:tr>
      <w:tr w:rsidR="61096C0A" w14:paraId="4757FA28" w14:textId="77777777" w:rsidTr="61096C0A">
        <w:trPr>
          <w:trHeight w:val="270"/>
        </w:trPr>
        <w:tc>
          <w:tcPr>
            <w:tcW w:w="4455" w:type="dxa"/>
            <w:vAlign w:val="center"/>
          </w:tcPr>
          <w:p w14:paraId="0B3F9CEC" w14:textId="6D629853" w:rsidR="61096C0A" w:rsidRDefault="61096C0A" w:rsidP="61096C0A">
            <w:pPr>
              <w:jc w:val="right"/>
              <w:rPr>
                <w:rFonts w:ascii="Arial" w:eastAsia="Arial" w:hAnsi="Arial" w:cs="Arial"/>
                <w:sz w:val="20"/>
                <w:szCs w:val="20"/>
              </w:rPr>
            </w:pPr>
            <w:r w:rsidRPr="61096C0A">
              <w:rPr>
                <w:rFonts w:ascii="Arial" w:eastAsia="Arial" w:hAnsi="Arial" w:cs="Arial"/>
                <w:sz w:val="20"/>
                <w:szCs w:val="20"/>
              </w:rPr>
              <w:t>Monmouthshire / Sir Fynwy</w:t>
            </w:r>
          </w:p>
        </w:tc>
        <w:tc>
          <w:tcPr>
            <w:tcW w:w="1680" w:type="dxa"/>
          </w:tcPr>
          <w:p w14:paraId="1AC7F53D" w14:textId="664B1D04" w:rsidR="61096C0A" w:rsidRDefault="61096C0A" w:rsidP="61096C0A">
            <w:pPr>
              <w:jc w:val="center"/>
            </w:pPr>
            <w:r w:rsidRPr="61096C0A">
              <w:rPr>
                <w:rFonts w:ascii="Arial" w:eastAsia="Arial" w:hAnsi="Arial" w:cs="Arial"/>
                <w:sz w:val="20"/>
                <w:szCs w:val="20"/>
              </w:rPr>
              <w:t>27.0%</w:t>
            </w:r>
          </w:p>
        </w:tc>
        <w:tc>
          <w:tcPr>
            <w:tcW w:w="1800" w:type="dxa"/>
          </w:tcPr>
          <w:p w14:paraId="7C6A9708" w14:textId="0DD7E6A3" w:rsidR="61096C0A" w:rsidRDefault="61096C0A" w:rsidP="61096C0A">
            <w:pPr>
              <w:jc w:val="center"/>
            </w:pPr>
            <w:r w:rsidRPr="61096C0A">
              <w:rPr>
                <w:rFonts w:ascii="Arial" w:eastAsia="Arial" w:hAnsi="Arial" w:cs="Arial"/>
                <w:sz w:val="20"/>
                <w:szCs w:val="20"/>
              </w:rPr>
              <w:t>4015</w:t>
            </w:r>
          </w:p>
        </w:tc>
      </w:tr>
    </w:tbl>
    <w:p w14:paraId="6122705C" w14:textId="4476192A" w:rsidR="61096C0A" w:rsidRDefault="61096C0A" w:rsidP="61096C0A">
      <w:pPr>
        <w:rPr>
          <w:rFonts w:eastAsiaTheme="minorEastAsia"/>
          <w:b/>
          <w:bCs/>
          <w:sz w:val="24"/>
          <w:szCs w:val="24"/>
        </w:rPr>
      </w:pPr>
    </w:p>
    <w:p w14:paraId="61E530E7" w14:textId="77777777" w:rsidR="000D59CE" w:rsidRDefault="000D59CE" w:rsidP="61096C0A">
      <w:pPr>
        <w:rPr>
          <w:rFonts w:eastAsiaTheme="minorEastAsia"/>
          <w:b/>
          <w:bCs/>
          <w:sz w:val="24"/>
          <w:szCs w:val="24"/>
        </w:rPr>
      </w:pPr>
    </w:p>
    <w:p w14:paraId="3091FCAA" w14:textId="1E399D20" w:rsidR="000D59CE" w:rsidRDefault="000D59CE" w:rsidP="61096C0A">
      <w:pPr>
        <w:rPr>
          <w:rFonts w:eastAsiaTheme="minorEastAsia"/>
          <w:sz w:val="24"/>
          <w:szCs w:val="24"/>
        </w:rPr>
      </w:pPr>
      <w:r w:rsidRPr="61096C0A">
        <w:rPr>
          <w:rFonts w:eastAsiaTheme="minorEastAsia"/>
          <w:sz w:val="24"/>
          <w:szCs w:val="24"/>
        </w:rPr>
        <w:t xml:space="preserve">Estimates by Westminster constituency are also available </w:t>
      </w:r>
      <w:hyperlink r:id="rId9" w:history="1">
        <w:r w:rsidR="009C257C" w:rsidRPr="009C257C">
          <w:rPr>
            <w:rStyle w:val="Hyperlink"/>
            <w:rFonts w:eastAsiaTheme="minorEastAsia"/>
            <w:sz w:val="24"/>
            <w:szCs w:val="24"/>
          </w:rPr>
          <w:t>here</w:t>
        </w:r>
      </w:hyperlink>
    </w:p>
    <w:p w14:paraId="6B96CB10" w14:textId="77777777" w:rsidR="000D59CE" w:rsidRPr="00B3721E" w:rsidRDefault="000D59CE" w:rsidP="61096C0A">
      <w:pPr>
        <w:rPr>
          <w:rFonts w:eastAsiaTheme="minorEastAsia"/>
          <w:b/>
          <w:bCs/>
          <w:sz w:val="24"/>
          <w:szCs w:val="24"/>
        </w:rPr>
      </w:pPr>
      <w:r w:rsidRPr="61096C0A">
        <w:rPr>
          <w:rFonts w:eastAsiaTheme="minorEastAsia"/>
          <w:b/>
          <w:bCs/>
          <w:sz w:val="24"/>
          <w:szCs w:val="24"/>
        </w:rPr>
        <w:t>ENDS</w:t>
      </w:r>
    </w:p>
    <w:p w14:paraId="12F925B1" w14:textId="77777777" w:rsidR="000D59CE" w:rsidRPr="00B3721E" w:rsidRDefault="000D59CE" w:rsidP="61096C0A">
      <w:pPr>
        <w:rPr>
          <w:rFonts w:eastAsiaTheme="minorEastAsia"/>
          <w:b/>
          <w:bCs/>
          <w:color w:val="000000" w:themeColor="text1"/>
          <w:sz w:val="24"/>
          <w:szCs w:val="24"/>
        </w:rPr>
      </w:pPr>
      <w:r w:rsidRPr="61096C0A">
        <w:rPr>
          <w:rFonts w:eastAsiaTheme="minorEastAsia"/>
          <w:b/>
          <w:bCs/>
          <w:color w:val="000000" w:themeColor="text1"/>
          <w:sz w:val="24"/>
          <w:szCs w:val="24"/>
        </w:rPr>
        <w:t>Notes to editors</w:t>
      </w:r>
    </w:p>
    <w:p w14:paraId="548E8826" w14:textId="2AC3483D" w:rsidR="000D59CE" w:rsidRDefault="000D59CE" w:rsidP="61096C0A">
      <w:pPr>
        <w:rPr>
          <w:rFonts w:eastAsiaTheme="minorEastAsia"/>
          <w:sz w:val="24"/>
          <w:szCs w:val="24"/>
        </w:rPr>
      </w:pPr>
      <w:r w:rsidRPr="61096C0A">
        <w:rPr>
          <w:rFonts w:eastAsiaTheme="minorEastAsia"/>
          <w:sz w:val="24"/>
          <w:szCs w:val="24"/>
        </w:rPr>
        <w:t xml:space="preserve">For further information, </w:t>
      </w:r>
      <w:r w:rsidR="766D1174" w:rsidRPr="61096C0A">
        <w:rPr>
          <w:rFonts w:eastAsiaTheme="minorEastAsia"/>
          <w:sz w:val="24"/>
          <w:szCs w:val="24"/>
        </w:rPr>
        <w:t>or requests to speak to Welsh</w:t>
      </w:r>
      <w:r w:rsidRPr="61096C0A">
        <w:rPr>
          <w:rFonts w:eastAsiaTheme="minorEastAsia"/>
          <w:sz w:val="24"/>
          <w:szCs w:val="24"/>
        </w:rPr>
        <w:t xml:space="preserve"> members of End Child Poverty, please contact </w:t>
      </w:r>
    </w:p>
    <w:p w14:paraId="1FD51F3E" w14:textId="5576E2BA" w:rsidR="000D59CE" w:rsidRDefault="766D1174" w:rsidP="61096C0A">
      <w:pPr>
        <w:rPr>
          <w:rFonts w:eastAsiaTheme="minorEastAsia"/>
          <w:sz w:val="24"/>
          <w:szCs w:val="24"/>
        </w:rPr>
      </w:pPr>
      <w:r w:rsidRPr="61096C0A">
        <w:rPr>
          <w:rFonts w:eastAsiaTheme="minorEastAsia"/>
          <w:sz w:val="24"/>
          <w:szCs w:val="24"/>
        </w:rPr>
        <w:t>Ellie Harw</w:t>
      </w:r>
      <w:r w:rsidR="00D53130">
        <w:rPr>
          <w:rFonts w:eastAsiaTheme="minorEastAsia"/>
          <w:sz w:val="24"/>
          <w:szCs w:val="24"/>
        </w:rPr>
        <w:t>ood, Child Poverty Action Group -</w:t>
      </w:r>
      <w:r w:rsidRPr="61096C0A">
        <w:rPr>
          <w:rFonts w:eastAsiaTheme="minorEastAsia"/>
          <w:sz w:val="24"/>
          <w:szCs w:val="24"/>
        </w:rPr>
        <w:t xml:space="preserve"> 07525</w:t>
      </w:r>
      <w:r w:rsidR="00D53130">
        <w:rPr>
          <w:rFonts w:eastAsiaTheme="minorEastAsia"/>
          <w:sz w:val="24"/>
          <w:szCs w:val="24"/>
        </w:rPr>
        <w:t xml:space="preserve"> </w:t>
      </w:r>
      <w:r w:rsidRPr="61096C0A">
        <w:rPr>
          <w:rFonts w:eastAsiaTheme="minorEastAsia"/>
          <w:sz w:val="24"/>
          <w:szCs w:val="24"/>
        </w:rPr>
        <w:t xml:space="preserve">810887 </w:t>
      </w:r>
    </w:p>
    <w:p w14:paraId="085A3963" w14:textId="3AC25959" w:rsidR="00524610" w:rsidRDefault="766D1174" w:rsidP="00524610">
      <w:pPr>
        <w:rPr>
          <w:rFonts w:eastAsiaTheme="minorEastAsia"/>
          <w:sz w:val="24"/>
          <w:szCs w:val="24"/>
        </w:rPr>
      </w:pPr>
      <w:r w:rsidRPr="61096C0A">
        <w:rPr>
          <w:rFonts w:eastAsiaTheme="minorEastAsia"/>
          <w:sz w:val="24"/>
          <w:szCs w:val="24"/>
        </w:rPr>
        <w:t>Eurgain Haf</w:t>
      </w:r>
      <w:r w:rsidR="00DA46CA">
        <w:rPr>
          <w:rFonts w:eastAsiaTheme="minorEastAsia"/>
          <w:sz w:val="24"/>
          <w:szCs w:val="24"/>
        </w:rPr>
        <w:t xml:space="preserve"> (Welsh speaker), Save the Children </w:t>
      </w:r>
      <w:r w:rsidR="00524610">
        <w:rPr>
          <w:rFonts w:eastAsiaTheme="minorEastAsia"/>
          <w:sz w:val="24"/>
          <w:szCs w:val="24"/>
        </w:rPr>
        <w:t>–</w:t>
      </w:r>
      <w:r w:rsidR="00DA46CA">
        <w:rPr>
          <w:rFonts w:eastAsiaTheme="minorEastAsia"/>
          <w:sz w:val="24"/>
          <w:szCs w:val="24"/>
        </w:rPr>
        <w:t xml:space="preserve"> </w:t>
      </w:r>
      <w:r w:rsidR="00DA46CA" w:rsidRPr="00DA46CA">
        <w:rPr>
          <w:rFonts w:eastAsiaTheme="minorEastAsia"/>
          <w:sz w:val="24"/>
          <w:szCs w:val="24"/>
        </w:rPr>
        <w:t>07900214959</w:t>
      </w:r>
    </w:p>
    <w:p w14:paraId="7B27BAF5" w14:textId="55A59AD1" w:rsidR="000D59CE" w:rsidRDefault="00524610" w:rsidP="61096C0A">
      <w:pPr>
        <w:rPr>
          <w:rFonts w:eastAsiaTheme="minorEastAsia"/>
          <w:sz w:val="24"/>
          <w:szCs w:val="24"/>
        </w:rPr>
      </w:pPr>
      <w:r w:rsidRPr="61096C0A">
        <w:rPr>
          <w:rFonts w:eastAsiaTheme="minorEastAsia"/>
          <w:sz w:val="24"/>
          <w:szCs w:val="24"/>
        </w:rPr>
        <w:t xml:space="preserve">Sean O’Neill, Children in Wales - </w:t>
      </w:r>
      <w:r w:rsidRPr="00D53130">
        <w:rPr>
          <w:rFonts w:eastAsiaTheme="minorEastAsia"/>
          <w:sz w:val="24"/>
          <w:szCs w:val="24"/>
        </w:rPr>
        <w:t>02920 342434</w:t>
      </w:r>
    </w:p>
    <w:p w14:paraId="346DE6EF" w14:textId="3DE3ABF2" w:rsidR="61096C0A" w:rsidRDefault="61096C0A" w:rsidP="61096C0A">
      <w:pPr>
        <w:pStyle w:val="ListParagraph"/>
        <w:numPr>
          <w:ilvl w:val="0"/>
          <w:numId w:val="4"/>
        </w:numPr>
        <w:rPr>
          <w:rFonts w:eastAsiaTheme="minorEastAsia"/>
          <w:color w:val="000000" w:themeColor="text1"/>
          <w:sz w:val="24"/>
          <w:szCs w:val="24"/>
        </w:rPr>
      </w:pPr>
      <w:r w:rsidRPr="61096C0A">
        <w:rPr>
          <w:rFonts w:ascii="Calibri" w:eastAsia="Calibri" w:hAnsi="Calibri" w:cs="Calibri"/>
          <w:sz w:val="24"/>
          <w:szCs w:val="24"/>
        </w:rPr>
        <w:t xml:space="preserve">The research was carried out by Dr Juliet Stone at the Centre for Research in Social Policy, at Loughborough University </w:t>
      </w:r>
      <w:r w:rsidRPr="61096C0A">
        <w:rPr>
          <w:rFonts w:ascii="Calibri" w:eastAsia="Calibri" w:hAnsi="Calibri" w:cs="Calibri"/>
          <w:color w:val="000000" w:themeColor="text1"/>
          <w:sz w:val="24"/>
          <w:szCs w:val="24"/>
        </w:rPr>
        <w:t xml:space="preserve">using data released by the Department for Work and Pensions, </w:t>
      </w:r>
      <w:hyperlink r:id="rId10">
        <w:r w:rsidRPr="61096C0A">
          <w:rPr>
            <w:rStyle w:val="Hyperlink"/>
            <w:rFonts w:ascii="Calibri" w:eastAsia="Calibri" w:hAnsi="Calibri" w:cs="Calibri"/>
            <w:sz w:val="24"/>
            <w:szCs w:val="24"/>
          </w:rPr>
          <w:t>Children in low income families: local area statistics,</w:t>
        </w:r>
      </w:hyperlink>
      <w:r w:rsidRPr="61096C0A">
        <w:rPr>
          <w:rFonts w:ascii="Calibri" w:eastAsia="Calibri" w:hAnsi="Calibri" w:cs="Calibri"/>
          <w:color w:val="0563C1"/>
          <w:sz w:val="24"/>
          <w:szCs w:val="24"/>
          <w:u w:val="single"/>
        </w:rPr>
        <w:t xml:space="preserve"> </w:t>
      </w:r>
      <w:r w:rsidRPr="61096C0A">
        <w:rPr>
          <w:rFonts w:ascii="Calibri" w:eastAsia="Calibri" w:hAnsi="Calibri" w:cs="Calibri"/>
          <w:sz w:val="24"/>
          <w:szCs w:val="24"/>
        </w:rPr>
        <w:t>published in March 2022. This is based on benefits and tax credits administrative data and is before housing costs. The figures are</w:t>
      </w:r>
      <w:r w:rsidRPr="61096C0A">
        <w:rPr>
          <w:rFonts w:ascii="Calibri" w:eastAsia="Calibri" w:hAnsi="Calibri" w:cs="Calibri"/>
          <w:color w:val="000000" w:themeColor="text1"/>
          <w:sz w:val="24"/>
          <w:szCs w:val="24"/>
        </w:rPr>
        <w:t xml:space="preserve"> adjusted to take housing costs into </w:t>
      </w:r>
      <w:proofErr w:type="gramStart"/>
      <w:r w:rsidRPr="61096C0A">
        <w:rPr>
          <w:rFonts w:ascii="Calibri" w:eastAsia="Calibri" w:hAnsi="Calibri" w:cs="Calibri"/>
          <w:color w:val="000000" w:themeColor="text1"/>
          <w:sz w:val="24"/>
          <w:szCs w:val="24"/>
        </w:rPr>
        <w:t>account, and</w:t>
      </w:r>
      <w:proofErr w:type="gramEnd"/>
      <w:r w:rsidRPr="61096C0A">
        <w:rPr>
          <w:rFonts w:ascii="Calibri" w:eastAsia="Calibri" w:hAnsi="Calibri" w:cs="Calibri"/>
          <w:color w:val="000000" w:themeColor="text1"/>
          <w:sz w:val="24"/>
          <w:szCs w:val="24"/>
        </w:rPr>
        <w:t xml:space="preserve"> calibrated to Households Below Average Income (HBAI). </w:t>
      </w:r>
    </w:p>
    <w:p w14:paraId="1EA8610E" w14:textId="5681D074" w:rsidR="61096C0A" w:rsidRDefault="61096C0A" w:rsidP="61096C0A">
      <w:pPr>
        <w:pStyle w:val="ListParagraph"/>
        <w:numPr>
          <w:ilvl w:val="0"/>
          <w:numId w:val="4"/>
        </w:numPr>
        <w:rPr>
          <w:rFonts w:eastAsiaTheme="minorEastAsia"/>
          <w:sz w:val="24"/>
          <w:szCs w:val="24"/>
        </w:rPr>
      </w:pPr>
      <w:r w:rsidRPr="61096C0A">
        <w:rPr>
          <w:rFonts w:ascii="Calibri" w:eastAsia="Calibri" w:hAnsi="Calibri" w:cs="Calibri"/>
          <w:sz w:val="24"/>
          <w:szCs w:val="24"/>
        </w:rPr>
        <w:t xml:space="preserve">Calculating poverty ‘after housing costs’ gives a more accurate measure of how much money families have to live on. </w:t>
      </w:r>
    </w:p>
    <w:p w14:paraId="518732D2" w14:textId="0802C6F1" w:rsidR="61096C0A" w:rsidRDefault="61096C0A" w:rsidP="61096C0A">
      <w:pPr>
        <w:pStyle w:val="ListParagraph"/>
        <w:numPr>
          <w:ilvl w:val="0"/>
          <w:numId w:val="2"/>
        </w:numPr>
        <w:rPr>
          <w:rFonts w:eastAsiaTheme="minorEastAsia"/>
          <w:b/>
          <w:bCs/>
          <w:color w:val="000000" w:themeColor="text1"/>
          <w:sz w:val="24"/>
          <w:szCs w:val="24"/>
        </w:rPr>
      </w:pPr>
      <w:r w:rsidRPr="61096C0A">
        <w:rPr>
          <w:rFonts w:ascii="Calibri" w:eastAsia="Calibri" w:hAnsi="Calibri" w:cs="Calibri"/>
          <w:b/>
          <w:bCs/>
          <w:color w:val="000000" w:themeColor="text1"/>
          <w:sz w:val="24"/>
          <w:szCs w:val="24"/>
        </w:rPr>
        <w:t>NOTE:</w:t>
      </w:r>
      <w:r w:rsidRPr="61096C0A">
        <w:rPr>
          <w:rFonts w:ascii="Calibri" w:eastAsia="Calibri" w:hAnsi="Calibri" w:cs="Calibri"/>
          <w:color w:val="000000" w:themeColor="text1"/>
          <w:sz w:val="24"/>
          <w:szCs w:val="24"/>
        </w:rPr>
        <w:t xml:space="preserve"> These statistics are calibrated to regional 3-year averages from Households below Average Income for the financial years 2018/19 to 2020/21. The HBAI figures </w:t>
      </w:r>
      <w:r w:rsidRPr="61096C0A">
        <w:rPr>
          <w:rFonts w:ascii="Calibri" w:eastAsia="Calibri" w:hAnsi="Calibri" w:cs="Calibri"/>
          <w:color w:val="000000" w:themeColor="text1"/>
          <w:sz w:val="24"/>
          <w:szCs w:val="24"/>
        </w:rPr>
        <w:lastRenderedPageBreak/>
        <w:t xml:space="preserve">for 2020/21 are less reliable than earlier years due to sampling issues related to the pandemic. Caution should be used in interpreting HBAI statistics for 2020/21 due to sampling issues related to the pandemic. Further information is available </w:t>
      </w:r>
      <w:hyperlink r:id="rId11">
        <w:r w:rsidRPr="61096C0A">
          <w:rPr>
            <w:rStyle w:val="Hyperlink"/>
            <w:rFonts w:ascii="Calibri" w:eastAsia="Calibri" w:hAnsi="Calibri" w:cs="Calibri"/>
            <w:sz w:val="24"/>
            <w:szCs w:val="24"/>
          </w:rPr>
          <w:t>here</w:t>
        </w:r>
      </w:hyperlink>
      <w:r w:rsidRPr="61096C0A">
        <w:rPr>
          <w:rFonts w:ascii="Calibri" w:eastAsia="Calibri" w:hAnsi="Calibri" w:cs="Calibri"/>
          <w:color w:val="000000" w:themeColor="text1"/>
          <w:sz w:val="24"/>
          <w:szCs w:val="24"/>
        </w:rPr>
        <w:t xml:space="preserve">. </w:t>
      </w:r>
    </w:p>
    <w:p w14:paraId="63DB1ED2" w14:textId="54FA890E" w:rsidR="61096C0A" w:rsidRDefault="61096C0A" w:rsidP="61096C0A">
      <w:pPr>
        <w:pStyle w:val="ListParagraph"/>
        <w:numPr>
          <w:ilvl w:val="0"/>
          <w:numId w:val="4"/>
        </w:numPr>
        <w:rPr>
          <w:rFonts w:eastAsiaTheme="minorEastAsia"/>
          <w:sz w:val="24"/>
          <w:szCs w:val="24"/>
        </w:rPr>
      </w:pPr>
      <w:r w:rsidRPr="61096C0A">
        <w:rPr>
          <w:rFonts w:ascii="Calibri" w:eastAsia="Calibri" w:hAnsi="Calibri" w:cs="Calibri"/>
          <w:sz w:val="24"/>
          <w:szCs w:val="24"/>
        </w:rPr>
        <w:t xml:space="preserve">Report and data all available </w:t>
      </w:r>
      <w:hyperlink r:id="rId12">
        <w:r w:rsidRPr="61096C0A">
          <w:rPr>
            <w:rStyle w:val="Hyperlink"/>
            <w:rFonts w:ascii="Calibri" w:eastAsia="Calibri" w:hAnsi="Calibri" w:cs="Calibri"/>
            <w:sz w:val="24"/>
            <w:szCs w:val="24"/>
          </w:rPr>
          <w:t>here</w:t>
        </w:r>
      </w:hyperlink>
      <w:r w:rsidRPr="61096C0A">
        <w:rPr>
          <w:rFonts w:ascii="Calibri" w:eastAsia="Calibri" w:hAnsi="Calibri" w:cs="Calibri"/>
          <w:sz w:val="24"/>
          <w:szCs w:val="24"/>
        </w:rPr>
        <w:t xml:space="preserve">. </w:t>
      </w:r>
    </w:p>
    <w:p w14:paraId="29063B70" w14:textId="73236456" w:rsidR="61096C0A" w:rsidRDefault="61096C0A" w:rsidP="61096C0A">
      <w:pPr>
        <w:spacing w:line="257" w:lineRule="auto"/>
      </w:pPr>
      <w:r w:rsidRPr="61096C0A">
        <w:rPr>
          <w:rFonts w:ascii="Calibri" w:eastAsia="Calibri" w:hAnsi="Calibri" w:cs="Calibri"/>
          <w:b/>
          <w:bCs/>
          <w:u w:val="single"/>
        </w:rPr>
        <w:t>Notes on how the data should be interpreted</w:t>
      </w:r>
    </w:p>
    <w:p w14:paraId="131EDE46" w14:textId="10533D03" w:rsidR="61096C0A" w:rsidRPr="000D75CE" w:rsidRDefault="00337036" w:rsidP="00337036">
      <w:pPr>
        <w:pStyle w:val="ListParagraph"/>
        <w:numPr>
          <w:ilvl w:val="0"/>
          <w:numId w:val="1"/>
        </w:numPr>
        <w:spacing w:after="0" w:line="240" w:lineRule="auto"/>
        <w:ind w:left="714" w:hanging="357"/>
        <w:rPr>
          <w:rFonts w:eastAsiaTheme="minorEastAsia"/>
          <w:sz w:val="24"/>
          <w:szCs w:val="24"/>
        </w:rPr>
      </w:pPr>
      <w:r w:rsidRPr="000D75CE">
        <w:rPr>
          <w:sz w:val="24"/>
          <w:szCs w:val="24"/>
        </w:rPr>
        <w:t xml:space="preserve">The figures are based on the Department for Work and Pensions Children in </w:t>
      </w:r>
      <w:proofErr w:type="gramStart"/>
      <w:r w:rsidRPr="000D75CE">
        <w:rPr>
          <w:sz w:val="24"/>
          <w:szCs w:val="24"/>
        </w:rPr>
        <w:t>low income</w:t>
      </w:r>
      <w:proofErr w:type="gramEnd"/>
      <w:r w:rsidRPr="000D75CE">
        <w:rPr>
          <w:sz w:val="24"/>
          <w:szCs w:val="24"/>
        </w:rPr>
        <w:t xml:space="preserve"> families: local area statistics which estimates the poverty rate before housing costs. A statistical model is used to estimate child poverty after housing costs which draws on household survey data alongside local area statistics on private rent levels. </w:t>
      </w:r>
    </w:p>
    <w:p w14:paraId="64585E2D" w14:textId="77777777" w:rsidR="000D75CE" w:rsidRPr="000D75CE" w:rsidRDefault="000D75CE" w:rsidP="000D75CE">
      <w:pPr>
        <w:pStyle w:val="ListParagraph"/>
        <w:spacing w:after="0" w:line="240" w:lineRule="auto"/>
        <w:ind w:left="714"/>
        <w:rPr>
          <w:rFonts w:eastAsiaTheme="minorEastAsia"/>
          <w:sz w:val="24"/>
          <w:szCs w:val="24"/>
        </w:rPr>
      </w:pPr>
    </w:p>
    <w:p w14:paraId="4056C1C3" w14:textId="2D21C621" w:rsidR="00524610" w:rsidRPr="000D75CE" w:rsidRDefault="00337036" w:rsidP="00352A00">
      <w:pPr>
        <w:pStyle w:val="xmsonormal"/>
        <w:numPr>
          <w:ilvl w:val="0"/>
          <w:numId w:val="1"/>
        </w:numPr>
        <w:ind w:left="714" w:hanging="357"/>
        <w:rPr>
          <w:sz w:val="24"/>
          <w:szCs w:val="24"/>
        </w:rPr>
      </w:pPr>
      <w:r w:rsidRPr="000D75CE">
        <w:rPr>
          <w:sz w:val="24"/>
          <w:szCs w:val="24"/>
        </w:rPr>
        <w:t xml:space="preserve">The statistics are calibrated to regional 3-year averages from Households Below Average Income (HBAI) for the financial years 2018/19 to 2020/21. The HBAI figures for 2020/21 are less reliable than earlier years due to sampling issues related to the pandemic. This should be kept in mind when interpreting the statistics released today, but the impact is lessened </w:t>
      </w:r>
      <w:proofErr w:type="gramStart"/>
      <w:r w:rsidRPr="000D75CE">
        <w:rPr>
          <w:sz w:val="24"/>
          <w:szCs w:val="24"/>
        </w:rPr>
        <w:t>by the use of</w:t>
      </w:r>
      <w:proofErr w:type="gramEnd"/>
      <w:r w:rsidRPr="000D75CE">
        <w:rPr>
          <w:sz w:val="24"/>
          <w:szCs w:val="24"/>
        </w:rPr>
        <w:t xml:space="preserve"> three-year averages for regional figures. </w:t>
      </w:r>
      <w:r w:rsidR="00524610" w:rsidRPr="000D75CE">
        <w:rPr>
          <w:rFonts w:eastAsiaTheme="minorEastAsia"/>
          <w:sz w:val="24"/>
          <w:szCs w:val="24"/>
        </w:rPr>
        <w:t xml:space="preserve">HBAI is available </w:t>
      </w:r>
      <w:hyperlink r:id="rId13">
        <w:r w:rsidR="00524610" w:rsidRPr="000D75CE">
          <w:rPr>
            <w:rStyle w:val="Hyperlink"/>
            <w:rFonts w:eastAsiaTheme="minorEastAsia"/>
            <w:sz w:val="24"/>
            <w:szCs w:val="24"/>
          </w:rPr>
          <w:t>here</w:t>
        </w:r>
      </w:hyperlink>
      <w:r w:rsidR="00524610" w:rsidRPr="000D75CE">
        <w:rPr>
          <w:rFonts w:eastAsiaTheme="minorEastAsia"/>
          <w:sz w:val="24"/>
          <w:szCs w:val="24"/>
        </w:rPr>
        <w:t xml:space="preserve">. </w:t>
      </w:r>
    </w:p>
    <w:p w14:paraId="03BABB68" w14:textId="77777777" w:rsidR="000D75CE" w:rsidRPr="000D75CE" w:rsidRDefault="000D75CE" w:rsidP="000D75CE">
      <w:pPr>
        <w:pStyle w:val="xmsonormal"/>
        <w:rPr>
          <w:sz w:val="24"/>
          <w:szCs w:val="24"/>
        </w:rPr>
      </w:pPr>
    </w:p>
    <w:p w14:paraId="2E915A3C" w14:textId="234C4744" w:rsidR="00337036" w:rsidRPr="000D75CE" w:rsidRDefault="00337036" w:rsidP="00352A00">
      <w:pPr>
        <w:pStyle w:val="xmsonormal"/>
        <w:numPr>
          <w:ilvl w:val="0"/>
          <w:numId w:val="1"/>
        </w:numPr>
        <w:ind w:left="714" w:hanging="357"/>
        <w:rPr>
          <w:sz w:val="24"/>
          <w:szCs w:val="24"/>
        </w:rPr>
      </w:pPr>
      <w:r w:rsidRPr="000D75CE">
        <w:rPr>
          <w:sz w:val="24"/>
          <w:szCs w:val="24"/>
        </w:rPr>
        <w:t>Users are advised that the data for individual local authorities and parliamentary constituencies are subject to small statistical fluctuations year-on-year and should be considered within the context of the regional or the longer-term local trend.</w:t>
      </w:r>
    </w:p>
    <w:p w14:paraId="3951D5ED" w14:textId="6B4505FE" w:rsidR="001C438B" w:rsidRPr="000D75CE" w:rsidRDefault="001C438B" w:rsidP="00337036">
      <w:pPr>
        <w:pStyle w:val="xmsonormal"/>
        <w:rPr>
          <w:sz w:val="24"/>
          <w:szCs w:val="24"/>
        </w:rPr>
      </w:pPr>
      <w:r w:rsidRPr="000D75CE">
        <w:rPr>
          <w:sz w:val="24"/>
          <w:szCs w:val="24"/>
        </w:rPr>
        <w:t> </w:t>
      </w:r>
    </w:p>
    <w:p w14:paraId="29EE4462" w14:textId="3F67DD44" w:rsidR="61096C0A" w:rsidRDefault="61096C0A" w:rsidP="61096C0A">
      <w:pPr>
        <w:spacing w:line="257" w:lineRule="auto"/>
      </w:pPr>
      <w:r w:rsidRPr="61096C0A">
        <w:rPr>
          <w:rFonts w:ascii="Calibri" w:eastAsia="Calibri" w:hAnsi="Calibri" w:cs="Calibri"/>
          <w:b/>
          <w:bCs/>
        </w:rPr>
        <w:t>Note 1</w:t>
      </w:r>
      <w:r w:rsidRPr="61096C0A">
        <w:rPr>
          <w:rFonts w:ascii="Calibri" w:eastAsia="Calibri" w:hAnsi="Calibri" w:cs="Calibri"/>
        </w:rPr>
        <w:t xml:space="preserve"> In May, the former Chancellor announced a £650 one-off Cost of Living Payment for those on means tested benefits and confirmed that the Government will use the usual rules for uprating benefits in April 2023, </w:t>
      </w:r>
      <w:r w:rsidRPr="61096C0A">
        <w:rPr>
          <w:rFonts w:ascii="Calibri" w:eastAsia="Calibri" w:hAnsi="Calibri" w:cs="Calibri"/>
          <w:color w:val="1B1B1B"/>
        </w:rPr>
        <w:t>increasing them by September’s value of inflation,</w:t>
      </w:r>
    </w:p>
    <w:p w14:paraId="3E316216" w14:textId="2028B8ED" w:rsidR="61096C0A" w:rsidRDefault="61096C0A" w:rsidP="61096C0A">
      <w:pPr>
        <w:spacing w:line="257" w:lineRule="auto"/>
      </w:pPr>
      <w:r w:rsidRPr="61096C0A">
        <w:rPr>
          <w:rFonts w:ascii="Calibri" w:eastAsia="Calibri" w:hAnsi="Calibri" w:cs="Calibri"/>
          <w:b/>
          <w:bCs/>
        </w:rPr>
        <w:t>About End Child Poverty</w:t>
      </w:r>
    </w:p>
    <w:p w14:paraId="7932D639" w14:textId="17D76871" w:rsidR="61096C0A" w:rsidRDefault="61096C0A" w:rsidP="61096C0A">
      <w:pPr>
        <w:spacing w:line="257" w:lineRule="auto"/>
      </w:pPr>
      <w:r w:rsidRPr="61096C0A">
        <w:rPr>
          <w:rFonts w:ascii="Calibri" w:eastAsia="Calibri" w:hAnsi="Calibri" w:cs="Calibri"/>
        </w:rPr>
        <w:t xml:space="preserve">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4">
        <w:r w:rsidRPr="61096C0A">
          <w:rPr>
            <w:rStyle w:val="Hyperlink"/>
            <w:rFonts w:ascii="Calibri" w:eastAsia="Calibri" w:hAnsi="Calibri" w:cs="Calibri"/>
          </w:rPr>
          <w:t>www.endchildpoverty.org.uk</w:t>
        </w:r>
      </w:hyperlink>
      <w:r w:rsidRPr="61096C0A">
        <w:rPr>
          <w:rFonts w:ascii="Calibri" w:eastAsia="Calibri" w:hAnsi="Calibri" w:cs="Calibri"/>
        </w:rPr>
        <w:t xml:space="preserve">.      </w:t>
      </w:r>
    </w:p>
    <w:p w14:paraId="32645841" w14:textId="40B91A09" w:rsidR="61096C0A" w:rsidRDefault="61096C0A" w:rsidP="61096C0A">
      <w:pPr>
        <w:rPr>
          <w:rFonts w:eastAsiaTheme="minorEastAsia"/>
          <w:sz w:val="24"/>
          <w:szCs w:val="24"/>
        </w:rPr>
      </w:pPr>
    </w:p>
    <w:p w14:paraId="3E3C4A08" w14:textId="155FCD00" w:rsidR="000D59CE" w:rsidRDefault="000D59CE" w:rsidP="61096C0A">
      <w:pPr>
        <w:rPr>
          <w:rFonts w:eastAsiaTheme="minorEastAsia"/>
          <w:sz w:val="24"/>
          <w:szCs w:val="24"/>
        </w:rPr>
      </w:pPr>
    </w:p>
    <w:sectPr w:rsidR="000D5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FG3E+YN70vzI4" int2:id="OjoT4Gfl">
      <int2:state int2:value="Rejected" int2:type="LegacyProofing"/>
    </int2:textHash>
    <int2:bookmark int2:bookmarkName="_Int_mJ7KRRkt" int2:invalidationBookmarkName="" int2:hashCode="RoHRJMxsS3O6q/" int2:id="Q8ggj6j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E797"/>
    <w:multiLevelType w:val="hybridMultilevel"/>
    <w:tmpl w:val="D5BE860E"/>
    <w:lvl w:ilvl="0" w:tplc="35E02A20">
      <w:start w:val="1"/>
      <w:numFmt w:val="decimal"/>
      <w:lvlText w:val="%1."/>
      <w:lvlJc w:val="left"/>
      <w:pPr>
        <w:ind w:left="720" w:hanging="360"/>
      </w:pPr>
    </w:lvl>
    <w:lvl w:ilvl="1" w:tplc="6CAECE8C">
      <w:start w:val="1"/>
      <w:numFmt w:val="lowerLetter"/>
      <w:lvlText w:val="%2."/>
      <w:lvlJc w:val="left"/>
      <w:pPr>
        <w:ind w:left="1440" w:hanging="360"/>
      </w:pPr>
    </w:lvl>
    <w:lvl w:ilvl="2" w:tplc="7DB4FF04">
      <w:start w:val="1"/>
      <w:numFmt w:val="lowerRoman"/>
      <w:lvlText w:val="%3."/>
      <w:lvlJc w:val="right"/>
      <w:pPr>
        <w:ind w:left="2160" w:hanging="180"/>
      </w:pPr>
    </w:lvl>
    <w:lvl w:ilvl="3" w:tplc="0498A840">
      <w:start w:val="1"/>
      <w:numFmt w:val="decimal"/>
      <w:lvlText w:val="%4."/>
      <w:lvlJc w:val="left"/>
      <w:pPr>
        <w:ind w:left="2880" w:hanging="360"/>
      </w:pPr>
    </w:lvl>
    <w:lvl w:ilvl="4" w:tplc="2982BC6C">
      <w:start w:val="1"/>
      <w:numFmt w:val="lowerLetter"/>
      <w:lvlText w:val="%5."/>
      <w:lvlJc w:val="left"/>
      <w:pPr>
        <w:ind w:left="3600" w:hanging="360"/>
      </w:pPr>
    </w:lvl>
    <w:lvl w:ilvl="5" w:tplc="15002716">
      <w:start w:val="1"/>
      <w:numFmt w:val="lowerRoman"/>
      <w:lvlText w:val="%6."/>
      <w:lvlJc w:val="right"/>
      <w:pPr>
        <w:ind w:left="4320" w:hanging="180"/>
      </w:pPr>
    </w:lvl>
    <w:lvl w:ilvl="6" w:tplc="FCF85B80">
      <w:start w:val="1"/>
      <w:numFmt w:val="decimal"/>
      <w:lvlText w:val="%7."/>
      <w:lvlJc w:val="left"/>
      <w:pPr>
        <w:ind w:left="5040" w:hanging="360"/>
      </w:pPr>
    </w:lvl>
    <w:lvl w:ilvl="7" w:tplc="C2D4F78C">
      <w:start w:val="1"/>
      <w:numFmt w:val="lowerLetter"/>
      <w:lvlText w:val="%8."/>
      <w:lvlJc w:val="left"/>
      <w:pPr>
        <w:ind w:left="5760" w:hanging="360"/>
      </w:pPr>
    </w:lvl>
    <w:lvl w:ilvl="8" w:tplc="677C9388">
      <w:start w:val="1"/>
      <w:numFmt w:val="lowerRoman"/>
      <w:lvlText w:val="%9."/>
      <w:lvlJc w:val="right"/>
      <w:pPr>
        <w:ind w:left="6480" w:hanging="180"/>
      </w:pPr>
    </w:lvl>
  </w:abstractNum>
  <w:abstractNum w:abstractNumId="1" w15:restartNumberingAfterBreak="0">
    <w:nsid w:val="07057FA8"/>
    <w:multiLevelType w:val="hybridMultilevel"/>
    <w:tmpl w:val="4F90C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BD03F"/>
    <w:multiLevelType w:val="hybridMultilevel"/>
    <w:tmpl w:val="3BEAFBDE"/>
    <w:lvl w:ilvl="0" w:tplc="37528F4A">
      <w:start w:val="1"/>
      <w:numFmt w:val="bullet"/>
      <w:lvlText w:val="·"/>
      <w:lvlJc w:val="left"/>
      <w:pPr>
        <w:ind w:left="720" w:hanging="360"/>
      </w:pPr>
      <w:rPr>
        <w:rFonts w:ascii="Symbol" w:hAnsi="Symbol" w:hint="default"/>
      </w:rPr>
    </w:lvl>
    <w:lvl w:ilvl="1" w:tplc="A13E3EEC">
      <w:start w:val="1"/>
      <w:numFmt w:val="bullet"/>
      <w:lvlText w:val="o"/>
      <w:lvlJc w:val="left"/>
      <w:pPr>
        <w:ind w:left="1440" w:hanging="360"/>
      </w:pPr>
      <w:rPr>
        <w:rFonts w:ascii="Courier New" w:hAnsi="Courier New" w:hint="default"/>
      </w:rPr>
    </w:lvl>
    <w:lvl w:ilvl="2" w:tplc="5B4AAA5A">
      <w:start w:val="1"/>
      <w:numFmt w:val="bullet"/>
      <w:lvlText w:val=""/>
      <w:lvlJc w:val="left"/>
      <w:pPr>
        <w:ind w:left="2160" w:hanging="360"/>
      </w:pPr>
      <w:rPr>
        <w:rFonts w:ascii="Wingdings" w:hAnsi="Wingdings" w:hint="default"/>
      </w:rPr>
    </w:lvl>
    <w:lvl w:ilvl="3" w:tplc="B4F0EE2E">
      <w:start w:val="1"/>
      <w:numFmt w:val="bullet"/>
      <w:lvlText w:val=""/>
      <w:lvlJc w:val="left"/>
      <w:pPr>
        <w:ind w:left="2880" w:hanging="360"/>
      </w:pPr>
      <w:rPr>
        <w:rFonts w:ascii="Symbol" w:hAnsi="Symbol" w:hint="default"/>
      </w:rPr>
    </w:lvl>
    <w:lvl w:ilvl="4" w:tplc="EEE8EFDC">
      <w:start w:val="1"/>
      <w:numFmt w:val="bullet"/>
      <w:lvlText w:val="o"/>
      <w:lvlJc w:val="left"/>
      <w:pPr>
        <w:ind w:left="3600" w:hanging="360"/>
      </w:pPr>
      <w:rPr>
        <w:rFonts w:ascii="Courier New" w:hAnsi="Courier New" w:hint="default"/>
      </w:rPr>
    </w:lvl>
    <w:lvl w:ilvl="5" w:tplc="85F0A910">
      <w:start w:val="1"/>
      <w:numFmt w:val="bullet"/>
      <w:lvlText w:val=""/>
      <w:lvlJc w:val="left"/>
      <w:pPr>
        <w:ind w:left="4320" w:hanging="360"/>
      </w:pPr>
      <w:rPr>
        <w:rFonts w:ascii="Wingdings" w:hAnsi="Wingdings" w:hint="default"/>
      </w:rPr>
    </w:lvl>
    <w:lvl w:ilvl="6" w:tplc="3DB81238">
      <w:start w:val="1"/>
      <w:numFmt w:val="bullet"/>
      <w:lvlText w:val=""/>
      <w:lvlJc w:val="left"/>
      <w:pPr>
        <w:ind w:left="5040" w:hanging="360"/>
      </w:pPr>
      <w:rPr>
        <w:rFonts w:ascii="Symbol" w:hAnsi="Symbol" w:hint="default"/>
      </w:rPr>
    </w:lvl>
    <w:lvl w:ilvl="7" w:tplc="2B5E4134">
      <w:start w:val="1"/>
      <w:numFmt w:val="bullet"/>
      <w:lvlText w:val="o"/>
      <w:lvlJc w:val="left"/>
      <w:pPr>
        <w:ind w:left="5760" w:hanging="360"/>
      </w:pPr>
      <w:rPr>
        <w:rFonts w:ascii="Courier New" w:hAnsi="Courier New" w:hint="default"/>
      </w:rPr>
    </w:lvl>
    <w:lvl w:ilvl="8" w:tplc="DD14E192">
      <w:start w:val="1"/>
      <w:numFmt w:val="bullet"/>
      <w:lvlText w:val=""/>
      <w:lvlJc w:val="left"/>
      <w:pPr>
        <w:ind w:left="6480" w:hanging="360"/>
      </w:pPr>
      <w:rPr>
        <w:rFonts w:ascii="Wingdings" w:hAnsi="Wingdings" w:hint="default"/>
      </w:rPr>
    </w:lvl>
  </w:abstractNum>
  <w:abstractNum w:abstractNumId="3" w15:restartNumberingAfterBreak="0">
    <w:nsid w:val="1D1B054E"/>
    <w:multiLevelType w:val="hybridMultilevel"/>
    <w:tmpl w:val="43B26392"/>
    <w:lvl w:ilvl="0" w:tplc="78689762">
      <w:start w:val="1"/>
      <w:numFmt w:val="bullet"/>
      <w:lvlText w:val="·"/>
      <w:lvlJc w:val="left"/>
      <w:pPr>
        <w:ind w:left="720" w:hanging="360"/>
      </w:pPr>
      <w:rPr>
        <w:rFonts w:ascii="Symbol" w:hAnsi="Symbol" w:hint="default"/>
      </w:rPr>
    </w:lvl>
    <w:lvl w:ilvl="1" w:tplc="2794B818">
      <w:start w:val="1"/>
      <w:numFmt w:val="bullet"/>
      <w:lvlText w:val="o"/>
      <w:lvlJc w:val="left"/>
      <w:pPr>
        <w:ind w:left="1440" w:hanging="360"/>
      </w:pPr>
      <w:rPr>
        <w:rFonts w:ascii="Courier New" w:hAnsi="Courier New" w:hint="default"/>
      </w:rPr>
    </w:lvl>
    <w:lvl w:ilvl="2" w:tplc="128863AC">
      <w:start w:val="1"/>
      <w:numFmt w:val="bullet"/>
      <w:lvlText w:val=""/>
      <w:lvlJc w:val="left"/>
      <w:pPr>
        <w:ind w:left="2160" w:hanging="360"/>
      </w:pPr>
      <w:rPr>
        <w:rFonts w:ascii="Wingdings" w:hAnsi="Wingdings" w:hint="default"/>
      </w:rPr>
    </w:lvl>
    <w:lvl w:ilvl="3" w:tplc="4FCCA806">
      <w:start w:val="1"/>
      <w:numFmt w:val="bullet"/>
      <w:lvlText w:val=""/>
      <w:lvlJc w:val="left"/>
      <w:pPr>
        <w:ind w:left="2880" w:hanging="360"/>
      </w:pPr>
      <w:rPr>
        <w:rFonts w:ascii="Symbol" w:hAnsi="Symbol" w:hint="default"/>
      </w:rPr>
    </w:lvl>
    <w:lvl w:ilvl="4" w:tplc="62305A9C">
      <w:start w:val="1"/>
      <w:numFmt w:val="bullet"/>
      <w:lvlText w:val="o"/>
      <w:lvlJc w:val="left"/>
      <w:pPr>
        <w:ind w:left="3600" w:hanging="360"/>
      </w:pPr>
      <w:rPr>
        <w:rFonts w:ascii="Courier New" w:hAnsi="Courier New" w:hint="default"/>
      </w:rPr>
    </w:lvl>
    <w:lvl w:ilvl="5" w:tplc="7E4246A6">
      <w:start w:val="1"/>
      <w:numFmt w:val="bullet"/>
      <w:lvlText w:val=""/>
      <w:lvlJc w:val="left"/>
      <w:pPr>
        <w:ind w:left="4320" w:hanging="360"/>
      </w:pPr>
      <w:rPr>
        <w:rFonts w:ascii="Wingdings" w:hAnsi="Wingdings" w:hint="default"/>
      </w:rPr>
    </w:lvl>
    <w:lvl w:ilvl="6" w:tplc="BF34D30A">
      <w:start w:val="1"/>
      <w:numFmt w:val="bullet"/>
      <w:lvlText w:val=""/>
      <w:lvlJc w:val="left"/>
      <w:pPr>
        <w:ind w:left="5040" w:hanging="360"/>
      </w:pPr>
      <w:rPr>
        <w:rFonts w:ascii="Symbol" w:hAnsi="Symbol" w:hint="default"/>
      </w:rPr>
    </w:lvl>
    <w:lvl w:ilvl="7" w:tplc="DB3C0D4A">
      <w:start w:val="1"/>
      <w:numFmt w:val="bullet"/>
      <w:lvlText w:val="o"/>
      <w:lvlJc w:val="left"/>
      <w:pPr>
        <w:ind w:left="5760" w:hanging="360"/>
      </w:pPr>
      <w:rPr>
        <w:rFonts w:ascii="Courier New" w:hAnsi="Courier New" w:hint="default"/>
      </w:rPr>
    </w:lvl>
    <w:lvl w:ilvl="8" w:tplc="3F62FA24">
      <w:start w:val="1"/>
      <w:numFmt w:val="bullet"/>
      <w:lvlText w:val=""/>
      <w:lvlJc w:val="left"/>
      <w:pPr>
        <w:ind w:left="6480" w:hanging="360"/>
      </w:pPr>
      <w:rPr>
        <w:rFonts w:ascii="Wingdings" w:hAnsi="Wingdings" w:hint="default"/>
      </w:rPr>
    </w:lvl>
  </w:abstractNum>
  <w:abstractNum w:abstractNumId="4" w15:restartNumberingAfterBreak="0">
    <w:nsid w:val="2A8730AE"/>
    <w:multiLevelType w:val="hybridMultilevel"/>
    <w:tmpl w:val="5E68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F8355"/>
    <w:multiLevelType w:val="hybridMultilevel"/>
    <w:tmpl w:val="0F1C279C"/>
    <w:lvl w:ilvl="0" w:tplc="09381716">
      <w:start w:val="1"/>
      <w:numFmt w:val="bullet"/>
      <w:lvlText w:val="·"/>
      <w:lvlJc w:val="left"/>
      <w:pPr>
        <w:ind w:left="720" w:hanging="360"/>
      </w:pPr>
      <w:rPr>
        <w:rFonts w:ascii="Symbol" w:hAnsi="Symbol" w:hint="default"/>
      </w:rPr>
    </w:lvl>
    <w:lvl w:ilvl="1" w:tplc="25B4D0B0">
      <w:start w:val="1"/>
      <w:numFmt w:val="bullet"/>
      <w:lvlText w:val="o"/>
      <w:lvlJc w:val="left"/>
      <w:pPr>
        <w:ind w:left="1440" w:hanging="360"/>
      </w:pPr>
      <w:rPr>
        <w:rFonts w:ascii="Courier New" w:hAnsi="Courier New" w:hint="default"/>
      </w:rPr>
    </w:lvl>
    <w:lvl w:ilvl="2" w:tplc="8160DC0C">
      <w:start w:val="1"/>
      <w:numFmt w:val="bullet"/>
      <w:lvlText w:val=""/>
      <w:lvlJc w:val="left"/>
      <w:pPr>
        <w:ind w:left="2160" w:hanging="360"/>
      </w:pPr>
      <w:rPr>
        <w:rFonts w:ascii="Wingdings" w:hAnsi="Wingdings" w:hint="default"/>
      </w:rPr>
    </w:lvl>
    <w:lvl w:ilvl="3" w:tplc="3C90D7C6">
      <w:start w:val="1"/>
      <w:numFmt w:val="bullet"/>
      <w:lvlText w:val=""/>
      <w:lvlJc w:val="left"/>
      <w:pPr>
        <w:ind w:left="2880" w:hanging="360"/>
      </w:pPr>
      <w:rPr>
        <w:rFonts w:ascii="Symbol" w:hAnsi="Symbol" w:hint="default"/>
      </w:rPr>
    </w:lvl>
    <w:lvl w:ilvl="4" w:tplc="79203B58">
      <w:start w:val="1"/>
      <w:numFmt w:val="bullet"/>
      <w:lvlText w:val="o"/>
      <w:lvlJc w:val="left"/>
      <w:pPr>
        <w:ind w:left="3600" w:hanging="360"/>
      </w:pPr>
      <w:rPr>
        <w:rFonts w:ascii="Courier New" w:hAnsi="Courier New" w:hint="default"/>
      </w:rPr>
    </w:lvl>
    <w:lvl w:ilvl="5" w:tplc="0D6E8BE8">
      <w:start w:val="1"/>
      <w:numFmt w:val="bullet"/>
      <w:lvlText w:val=""/>
      <w:lvlJc w:val="left"/>
      <w:pPr>
        <w:ind w:left="4320" w:hanging="360"/>
      </w:pPr>
      <w:rPr>
        <w:rFonts w:ascii="Wingdings" w:hAnsi="Wingdings" w:hint="default"/>
      </w:rPr>
    </w:lvl>
    <w:lvl w:ilvl="6" w:tplc="ACAE41F0">
      <w:start w:val="1"/>
      <w:numFmt w:val="bullet"/>
      <w:lvlText w:val=""/>
      <w:lvlJc w:val="left"/>
      <w:pPr>
        <w:ind w:left="5040" w:hanging="360"/>
      </w:pPr>
      <w:rPr>
        <w:rFonts w:ascii="Symbol" w:hAnsi="Symbol" w:hint="default"/>
      </w:rPr>
    </w:lvl>
    <w:lvl w:ilvl="7" w:tplc="07989452">
      <w:start w:val="1"/>
      <w:numFmt w:val="bullet"/>
      <w:lvlText w:val="o"/>
      <w:lvlJc w:val="left"/>
      <w:pPr>
        <w:ind w:left="5760" w:hanging="360"/>
      </w:pPr>
      <w:rPr>
        <w:rFonts w:ascii="Courier New" w:hAnsi="Courier New" w:hint="default"/>
      </w:rPr>
    </w:lvl>
    <w:lvl w:ilvl="8" w:tplc="96F01412">
      <w:start w:val="1"/>
      <w:numFmt w:val="bullet"/>
      <w:lvlText w:val=""/>
      <w:lvlJc w:val="left"/>
      <w:pPr>
        <w:ind w:left="6480" w:hanging="360"/>
      </w:pPr>
      <w:rPr>
        <w:rFonts w:ascii="Wingdings" w:hAnsi="Wingdings" w:hint="default"/>
      </w:rPr>
    </w:lvl>
  </w:abstractNum>
  <w:abstractNum w:abstractNumId="6" w15:restartNumberingAfterBreak="0">
    <w:nsid w:val="4E704911"/>
    <w:multiLevelType w:val="hybridMultilevel"/>
    <w:tmpl w:val="2812869E"/>
    <w:lvl w:ilvl="0" w:tplc="04A8DAC6">
      <w:start w:val="1"/>
      <w:numFmt w:val="bullet"/>
      <w:lvlText w:val=""/>
      <w:lvlJc w:val="left"/>
      <w:pPr>
        <w:ind w:left="720" w:hanging="360"/>
      </w:pPr>
      <w:rPr>
        <w:rFonts w:ascii="Symbol" w:hAnsi="Symbol" w:hint="default"/>
      </w:rPr>
    </w:lvl>
    <w:lvl w:ilvl="1" w:tplc="72C458E6">
      <w:start w:val="1"/>
      <w:numFmt w:val="bullet"/>
      <w:lvlText w:val="o"/>
      <w:lvlJc w:val="left"/>
      <w:pPr>
        <w:ind w:left="1440" w:hanging="360"/>
      </w:pPr>
      <w:rPr>
        <w:rFonts w:ascii="Courier New" w:hAnsi="Courier New" w:hint="default"/>
      </w:rPr>
    </w:lvl>
    <w:lvl w:ilvl="2" w:tplc="EA22DEFE">
      <w:start w:val="1"/>
      <w:numFmt w:val="bullet"/>
      <w:lvlText w:val=""/>
      <w:lvlJc w:val="left"/>
      <w:pPr>
        <w:ind w:left="2160" w:hanging="360"/>
      </w:pPr>
      <w:rPr>
        <w:rFonts w:ascii="Wingdings" w:hAnsi="Wingdings" w:hint="default"/>
      </w:rPr>
    </w:lvl>
    <w:lvl w:ilvl="3" w:tplc="47145002">
      <w:start w:val="1"/>
      <w:numFmt w:val="bullet"/>
      <w:lvlText w:val=""/>
      <w:lvlJc w:val="left"/>
      <w:pPr>
        <w:ind w:left="2880" w:hanging="360"/>
      </w:pPr>
      <w:rPr>
        <w:rFonts w:ascii="Symbol" w:hAnsi="Symbol" w:hint="default"/>
      </w:rPr>
    </w:lvl>
    <w:lvl w:ilvl="4" w:tplc="CD9462BA">
      <w:start w:val="1"/>
      <w:numFmt w:val="bullet"/>
      <w:lvlText w:val="o"/>
      <w:lvlJc w:val="left"/>
      <w:pPr>
        <w:ind w:left="3600" w:hanging="360"/>
      </w:pPr>
      <w:rPr>
        <w:rFonts w:ascii="Courier New" w:hAnsi="Courier New" w:hint="default"/>
      </w:rPr>
    </w:lvl>
    <w:lvl w:ilvl="5" w:tplc="FBC0AD14">
      <w:start w:val="1"/>
      <w:numFmt w:val="bullet"/>
      <w:lvlText w:val=""/>
      <w:lvlJc w:val="left"/>
      <w:pPr>
        <w:ind w:left="4320" w:hanging="360"/>
      </w:pPr>
      <w:rPr>
        <w:rFonts w:ascii="Wingdings" w:hAnsi="Wingdings" w:hint="default"/>
      </w:rPr>
    </w:lvl>
    <w:lvl w:ilvl="6" w:tplc="867E160A">
      <w:start w:val="1"/>
      <w:numFmt w:val="bullet"/>
      <w:lvlText w:val=""/>
      <w:lvlJc w:val="left"/>
      <w:pPr>
        <w:ind w:left="5040" w:hanging="360"/>
      </w:pPr>
      <w:rPr>
        <w:rFonts w:ascii="Symbol" w:hAnsi="Symbol" w:hint="default"/>
      </w:rPr>
    </w:lvl>
    <w:lvl w:ilvl="7" w:tplc="BFAA4ED0">
      <w:start w:val="1"/>
      <w:numFmt w:val="bullet"/>
      <w:lvlText w:val="o"/>
      <w:lvlJc w:val="left"/>
      <w:pPr>
        <w:ind w:left="5760" w:hanging="360"/>
      </w:pPr>
      <w:rPr>
        <w:rFonts w:ascii="Courier New" w:hAnsi="Courier New" w:hint="default"/>
      </w:rPr>
    </w:lvl>
    <w:lvl w:ilvl="8" w:tplc="EB001ECC">
      <w:start w:val="1"/>
      <w:numFmt w:val="bullet"/>
      <w:lvlText w:val=""/>
      <w:lvlJc w:val="left"/>
      <w:pPr>
        <w:ind w:left="6480" w:hanging="360"/>
      </w:pPr>
      <w:rPr>
        <w:rFonts w:ascii="Wingdings" w:hAnsi="Wingdings" w:hint="default"/>
      </w:rPr>
    </w:lvl>
  </w:abstractNum>
  <w:num w:numId="1" w16cid:durableId="983512356">
    <w:abstractNumId w:val="5"/>
  </w:num>
  <w:num w:numId="2" w16cid:durableId="21438191">
    <w:abstractNumId w:val="3"/>
  </w:num>
  <w:num w:numId="3" w16cid:durableId="913667386">
    <w:abstractNumId w:val="0"/>
  </w:num>
  <w:num w:numId="4" w16cid:durableId="314450868">
    <w:abstractNumId w:val="2"/>
  </w:num>
  <w:num w:numId="5" w16cid:durableId="1438989878">
    <w:abstractNumId w:val="6"/>
  </w:num>
  <w:num w:numId="6" w16cid:durableId="227226821">
    <w:abstractNumId w:val="4"/>
  </w:num>
  <w:num w:numId="7" w16cid:durableId="827791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CE"/>
    <w:rsid w:val="00005B9E"/>
    <w:rsid w:val="000D59CE"/>
    <w:rsid w:val="000D75CE"/>
    <w:rsid w:val="00136D45"/>
    <w:rsid w:val="00164C6C"/>
    <w:rsid w:val="00193D9E"/>
    <w:rsid w:val="001C438B"/>
    <w:rsid w:val="001F2658"/>
    <w:rsid w:val="00227378"/>
    <w:rsid w:val="00244C8D"/>
    <w:rsid w:val="0029512E"/>
    <w:rsid w:val="0029BAE2"/>
    <w:rsid w:val="002A0881"/>
    <w:rsid w:val="002D17E6"/>
    <w:rsid w:val="00337036"/>
    <w:rsid w:val="003D681A"/>
    <w:rsid w:val="003E2198"/>
    <w:rsid w:val="004C2FEF"/>
    <w:rsid w:val="004F3FDA"/>
    <w:rsid w:val="00524610"/>
    <w:rsid w:val="00556CC7"/>
    <w:rsid w:val="00561176"/>
    <w:rsid w:val="0066046E"/>
    <w:rsid w:val="0066111D"/>
    <w:rsid w:val="006A51CF"/>
    <w:rsid w:val="006E7858"/>
    <w:rsid w:val="006F24D1"/>
    <w:rsid w:val="006F5C51"/>
    <w:rsid w:val="00757D33"/>
    <w:rsid w:val="00757EE1"/>
    <w:rsid w:val="007A6503"/>
    <w:rsid w:val="00855F4F"/>
    <w:rsid w:val="009512CD"/>
    <w:rsid w:val="009B43FC"/>
    <w:rsid w:val="009C257C"/>
    <w:rsid w:val="00A0428C"/>
    <w:rsid w:val="00A413F7"/>
    <w:rsid w:val="00A81310"/>
    <w:rsid w:val="00A9169F"/>
    <w:rsid w:val="00AB3781"/>
    <w:rsid w:val="00AD239D"/>
    <w:rsid w:val="00AE302B"/>
    <w:rsid w:val="00AE6295"/>
    <w:rsid w:val="00B02E0C"/>
    <w:rsid w:val="00BA31D7"/>
    <w:rsid w:val="00BC7C78"/>
    <w:rsid w:val="00C301C2"/>
    <w:rsid w:val="00CC751D"/>
    <w:rsid w:val="00D25194"/>
    <w:rsid w:val="00D47ECC"/>
    <w:rsid w:val="00D52CF7"/>
    <w:rsid w:val="00D53130"/>
    <w:rsid w:val="00D60666"/>
    <w:rsid w:val="00DA46CA"/>
    <w:rsid w:val="00DE01F7"/>
    <w:rsid w:val="00E16F2B"/>
    <w:rsid w:val="00E361FE"/>
    <w:rsid w:val="00E919B6"/>
    <w:rsid w:val="00EB1EE7"/>
    <w:rsid w:val="00EC3578"/>
    <w:rsid w:val="00ED0AC0"/>
    <w:rsid w:val="00F16F2F"/>
    <w:rsid w:val="00FE20A0"/>
    <w:rsid w:val="01103D1C"/>
    <w:rsid w:val="0179D9CA"/>
    <w:rsid w:val="03AEAF58"/>
    <w:rsid w:val="0409CEB4"/>
    <w:rsid w:val="05689E53"/>
    <w:rsid w:val="05878C7B"/>
    <w:rsid w:val="0602CFEB"/>
    <w:rsid w:val="07235CDC"/>
    <w:rsid w:val="0743A427"/>
    <w:rsid w:val="0A179335"/>
    <w:rsid w:val="0A735763"/>
    <w:rsid w:val="0BDD0BCC"/>
    <w:rsid w:val="0C0F27C4"/>
    <w:rsid w:val="0C179681"/>
    <w:rsid w:val="0E5AF319"/>
    <w:rsid w:val="0EDC02CF"/>
    <w:rsid w:val="0F4674F4"/>
    <w:rsid w:val="11865228"/>
    <w:rsid w:val="11DC5529"/>
    <w:rsid w:val="13796E3C"/>
    <w:rsid w:val="1422272F"/>
    <w:rsid w:val="1508C074"/>
    <w:rsid w:val="16CDEC57"/>
    <w:rsid w:val="188478AC"/>
    <w:rsid w:val="18B7BB37"/>
    <w:rsid w:val="1972DEDB"/>
    <w:rsid w:val="1ABB5CD0"/>
    <w:rsid w:val="1B69CE98"/>
    <w:rsid w:val="1C8B3BA4"/>
    <w:rsid w:val="1D3D2DDB"/>
    <w:rsid w:val="1E09B8CC"/>
    <w:rsid w:val="1F0F734F"/>
    <w:rsid w:val="20B5B586"/>
    <w:rsid w:val="20DE3890"/>
    <w:rsid w:val="20F46884"/>
    <w:rsid w:val="24527E14"/>
    <w:rsid w:val="24D1CDF3"/>
    <w:rsid w:val="24E309C5"/>
    <w:rsid w:val="2517A855"/>
    <w:rsid w:val="26CA73FB"/>
    <w:rsid w:val="28FA8145"/>
    <w:rsid w:val="2AFA6FC1"/>
    <w:rsid w:val="2C00D02D"/>
    <w:rsid w:val="2C964022"/>
    <w:rsid w:val="2DB9C239"/>
    <w:rsid w:val="2E87E1BF"/>
    <w:rsid w:val="2F4A1A24"/>
    <w:rsid w:val="2FAB5617"/>
    <w:rsid w:val="2FAB9691"/>
    <w:rsid w:val="2FBE3329"/>
    <w:rsid w:val="30A21A1A"/>
    <w:rsid w:val="3105932A"/>
    <w:rsid w:val="3108438D"/>
    <w:rsid w:val="315088E8"/>
    <w:rsid w:val="315C0660"/>
    <w:rsid w:val="31752EBD"/>
    <w:rsid w:val="323DEA7B"/>
    <w:rsid w:val="32C1222F"/>
    <w:rsid w:val="36ABB15D"/>
    <w:rsid w:val="36F9FB9A"/>
    <w:rsid w:val="3863A069"/>
    <w:rsid w:val="38711322"/>
    <w:rsid w:val="3895CBFB"/>
    <w:rsid w:val="3AAC7570"/>
    <w:rsid w:val="3B7F2280"/>
    <w:rsid w:val="3BD2C681"/>
    <w:rsid w:val="3D0F0DE2"/>
    <w:rsid w:val="3E0C1F8D"/>
    <w:rsid w:val="3E615CBB"/>
    <w:rsid w:val="3E92666D"/>
    <w:rsid w:val="3F695D86"/>
    <w:rsid w:val="40BE9F44"/>
    <w:rsid w:val="41F15A52"/>
    <w:rsid w:val="424C6694"/>
    <w:rsid w:val="4530E89A"/>
    <w:rsid w:val="45E7E1A3"/>
    <w:rsid w:val="460395AA"/>
    <w:rsid w:val="46570F70"/>
    <w:rsid w:val="46758E27"/>
    <w:rsid w:val="4695D068"/>
    <w:rsid w:val="47E95934"/>
    <w:rsid w:val="47FC5667"/>
    <w:rsid w:val="49852995"/>
    <w:rsid w:val="4A0459BD"/>
    <w:rsid w:val="4ACD3723"/>
    <w:rsid w:val="4B526069"/>
    <w:rsid w:val="4B8701C1"/>
    <w:rsid w:val="4CBCCA57"/>
    <w:rsid w:val="4CC393FC"/>
    <w:rsid w:val="4D016093"/>
    <w:rsid w:val="4DCF7317"/>
    <w:rsid w:val="4E27CFEC"/>
    <w:rsid w:val="4E2A9273"/>
    <w:rsid w:val="4E59FB7E"/>
    <w:rsid w:val="4F2B47C8"/>
    <w:rsid w:val="501B3E6C"/>
    <w:rsid w:val="5032D613"/>
    <w:rsid w:val="50739B41"/>
    <w:rsid w:val="507D8B9D"/>
    <w:rsid w:val="50AD0B68"/>
    <w:rsid w:val="51C3712D"/>
    <w:rsid w:val="51D0A39C"/>
    <w:rsid w:val="520C7554"/>
    <w:rsid w:val="531ABFE9"/>
    <w:rsid w:val="5537D463"/>
    <w:rsid w:val="5619B974"/>
    <w:rsid w:val="56D3A4C4"/>
    <w:rsid w:val="57571069"/>
    <w:rsid w:val="57A91556"/>
    <w:rsid w:val="58F2E0CA"/>
    <w:rsid w:val="5B2B1368"/>
    <w:rsid w:val="5C11B856"/>
    <w:rsid w:val="5D4F27FB"/>
    <w:rsid w:val="61096C0A"/>
    <w:rsid w:val="6253320F"/>
    <w:rsid w:val="62757C62"/>
    <w:rsid w:val="628A8077"/>
    <w:rsid w:val="63DFBCC6"/>
    <w:rsid w:val="6460923A"/>
    <w:rsid w:val="64D42337"/>
    <w:rsid w:val="65089FA8"/>
    <w:rsid w:val="65F2A31F"/>
    <w:rsid w:val="6637CAC4"/>
    <w:rsid w:val="66A47009"/>
    <w:rsid w:val="67393FCA"/>
    <w:rsid w:val="67449039"/>
    <w:rsid w:val="67546AFD"/>
    <w:rsid w:val="67D39B25"/>
    <w:rsid w:val="68538FAB"/>
    <w:rsid w:val="68F03B5E"/>
    <w:rsid w:val="6A2CD933"/>
    <w:rsid w:val="6A5F8CA6"/>
    <w:rsid w:val="6A632E79"/>
    <w:rsid w:val="6AD0FDAC"/>
    <w:rsid w:val="6B232394"/>
    <w:rsid w:val="6B6A0919"/>
    <w:rsid w:val="6BA5D9D7"/>
    <w:rsid w:val="6C17E14C"/>
    <w:rsid w:val="6C36B917"/>
    <w:rsid w:val="6CA9CECF"/>
    <w:rsid w:val="6D9E64B2"/>
    <w:rsid w:val="6EFA39A6"/>
    <w:rsid w:val="6F1D773F"/>
    <w:rsid w:val="6F865035"/>
    <w:rsid w:val="70B947A0"/>
    <w:rsid w:val="710CC166"/>
    <w:rsid w:val="7172E26D"/>
    <w:rsid w:val="730714D5"/>
    <w:rsid w:val="7409CAD4"/>
    <w:rsid w:val="74B47F1E"/>
    <w:rsid w:val="74FA31DF"/>
    <w:rsid w:val="753E3E55"/>
    <w:rsid w:val="766D1174"/>
    <w:rsid w:val="77D58DCA"/>
    <w:rsid w:val="77E6C8A1"/>
    <w:rsid w:val="78C45985"/>
    <w:rsid w:val="78FDBD76"/>
    <w:rsid w:val="7A42E8C3"/>
    <w:rsid w:val="7A795243"/>
    <w:rsid w:val="7A88E803"/>
    <w:rsid w:val="7B1C04E8"/>
    <w:rsid w:val="7D97CAA8"/>
    <w:rsid w:val="7DECD805"/>
    <w:rsid w:val="7E775D6C"/>
    <w:rsid w:val="7FE09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5AED"/>
  <w15:docId w15:val="{2DF83C30-8564-4320-B2BB-BE36952A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CE"/>
    <w:rPr>
      <w:color w:val="0563C1"/>
      <w:u w:val="single"/>
    </w:rPr>
  </w:style>
  <w:style w:type="paragraph" w:styleId="ListParagraph">
    <w:name w:val="List Paragraph"/>
    <w:basedOn w:val="Normal"/>
    <w:uiPriority w:val="34"/>
    <w:qFormat/>
    <w:rsid w:val="000D59CE"/>
    <w:pPr>
      <w:ind w:left="720"/>
      <w:contextualSpacing/>
    </w:pPr>
  </w:style>
  <w:style w:type="table" w:styleId="TableGrid">
    <w:name w:val="Table Grid"/>
    <w:basedOn w:val="TableNormal"/>
    <w:uiPriority w:val="39"/>
    <w:rsid w:val="00A0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0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919B6"/>
    <w:rPr>
      <w:color w:val="954F72" w:themeColor="followedHyperlink"/>
      <w:u w:val="single"/>
    </w:rPr>
  </w:style>
  <w:style w:type="character" w:styleId="UnresolvedMention">
    <w:name w:val="Unresolved Mention"/>
    <w:basedOn w:val="DefaultParagraphFont"/>
    <w:uiPriority w:val="99"/>
    <w:semiHidden/>
    <w:unhideWhenUsed/>
    <w:rsid w:val="00E919B6"/>
    <w:rPr>
      <w:color w:val="605E5C"/>
      <w:shd w:val="clear" w:color="auto" w:fill="E1DFDD"/>
    </w:rPr>
  </w:style>
  <w:style w:type="paragraph" w:customStyle="1" w:styleId="xmsonormal">
    <w:name w:val="x_msonormal"/>
    <w:basedOn w:val="Normal"/>
    <w:rsid w:val="001C438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9777">
      <w:bodyDiv w:val="1"/>
      <w:marLeft w:val="0"/>
      <w:marRight w:val="0"/>
      <w:marTop w:val="0"/>
      <w:marBottom w:val="0"/>
      <w:divBdr>
        <w:top w:val="none" w:sz="0" w:space="0" w:color="auto"/>
        <w:left w:val="none" w:sz="0" w:space="0" w:color="auto"/>
        <w:bottom w:val="none" w:sz="0" w:space="0" w:color="auto"/>
        <w:right w:val="none" w:sz="0" w:space="0" w:color="auto"/>
      </w:divBdr>
    </w:div>
    <w:div w:id="1253322170">
      <w:bodyDiv w:val="1"/>
      <w:marLeft w:val="0"/>
      <w:marRight w:val="0"/>
      <w:marTop w:val="0"/>
      <w:marBottom w:val="0"/>
      <w:divBdr>
        <w:top w:val="none" w:sz="0" w:space="0" w:color="auto"/>
        <w:left w:val="none" w:sz="0" w:space="0" w:color="auto"/>
        <w:bottom w:val="none" w:sz="0" w:space="0" w:color="auto"/>
        <w:right w:val="none" w:sz="0" w:space="0" w:color="auto"/>
      </w:divBdr>
    </w:div>
    <w:div w:id="1906605575">
      <w:bodyDiv w:val="1"/>
      <w:marLeft w:val="0"/>
      <w:marRight w:val="0"/>
      <w:marTop w:val="0"/>
      <w:marBottom w:val="0"/>
      <w:divBdr>
        <w:top w:val="none" w:sz="0" w:space="0" w:color="auto"/>
        <w:left w:val="none" w:sz="0" w:space="0" w:color="auto"/>
        <w:bottom w:val="none" w:sz="0" w:space="0" w:color="auto"/>
        <w:right w:val="none" w:sz="0" w:space="0" w:color="auto"/>
      </w:divBdr>
    </w:div>
    <w:div w:id="209416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ransfer.com/downloads/87794da3f36b8bf89d0d4ae1c946eb3720220708095544/158a23" TargetMode="External"/><Relationship Id="rId13" Type="http://schemas.openxmlformats.org/officeDocument/2006/relationships/hyperlink" Target="https://www.gov.uk/government/statistics/households-below-average-income-for-financial-years-ending-1995-to-2021/households-below-average-income-an-analysis-of-the-income-distribution-fye-1995-to-fye-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dchildpoverty.org.uk/child-poverty/"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statistics/households-below-average-income-for-financial-years-ending-1995-to-20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statistics/children-in-low-income-families-local-area-statistics-2014-to-2021" TargetMode="External"/><Relationship Id="rId4" Type="http://schemas.openxmlformats.org/officeDocument/2006/relationships/numbering" Target="numbering.xml"/><Relationship Id="rId9" Type="http://schemas.openxmlformats.org/officeDocument/2006/relationships/hyperlink" Target="https://endchildpoverty.org.uk/child-poverty/" TargetMode="External"/><Relationship Id="rId14" Type="http://schemas.openxmlformats.org/officeDocument/2006/relationships/hyperlink" Target="http://www.endchildpover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3B77D6FDBE438CA9E00A06E573E2" ma:contentTypeVersion="12" ma:contentTypeDescription="Create a new document." ma:contentTypeScope="" ma:versionID="49b23aaf0cad1a90484dce7feb1c6a3b">
  <xsd:schema xmlns:xsd="http://www.w3.org/2001/XMLSchema" xmlns:xs="http://www.w3.org/2001/XMLSchema" xmlns:p="http://schemas.microsoft.com/office/2006/metadata/properties" xmlns:ns2="77492bbd-f849-4eec-8c45-3cb56ebcd59d" xmlns:ns3="390bd155-2b89-4e81-84d3-52880ec82fd8" targetNamespace="http://schemas.microsoft.com/office/2006/metadata/properties" ma:root="true" ma:fieldsID="240773843f130d6a0586572f3223e944" ns2:_="" ns3:_="">
    <xsd:import namespace="77492bbd-f849-4eec-8c45-3cb56ebcd59d"/>
    <xsd:import namespace="390bd155-2b89-4e81-84d3-52880ec82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92bbd-f849-4eec-8c45-3cb56ebcd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0bd155-2b89-4e81-84d3-52880ec82f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90bd155-2b89-4e81-84d3-52880ec82fd8">
      <UserInfo>
        <DisplayName>Alison Garnham</DisplayName>
        <AccountId>80</AccountId>
        <AccountType/>
      </UserInfo>
      <UserInfo>
        <DisplayName>Jane Ahrends</DisplayName>
        <AccountId>85</AccountId>
        <AccountType/>
      </UserInfo>
      <UserInfo>
        <DisplayName>Ellie Harwood</DisplayName>
        <AccountId>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67707E-28B4-428F-8650-174B0E4A1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92bbd-f849-4eec-8c45-3cb56ebcd59d"/>
    <ds:schemaRef ds:uri="390bd155-2b89-4e81-84d3-52880ec8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32E0B-89B0-4615-AA60-53B61DA5C30E}">
  <ds:schemaRefs>
    <ds:schemaRef ds:uri="http://schemas.microsoft.com/office/2006/metadata/properties"/>
    <ds:schemaRef ds:uri="http://schemas.microsoft.com/office/infopath/2007/PartnerControls"/>
    <ds:schemaRef ds:uri="390bd155-2b89-4e81-84d3-52880ec82fd8"/>
  </ds:schemaRefs>
</ds:datastoreItem>
</file>

<file path=customXml/itemProps3.xml><?xml version="1.0" encoding="utf-8"?>
<ds:datastoreItem xmlns:ds="http://schemas.openxmlformats.org/officeDocument/2006/customXml" ds:itemID="{948A3D23-DA14-41DA-84BE-AB23273B8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Harwood</dc:creator>
  <cp:lastModifiedBy>Eurgain Haf</cp:lastModifiedBy>
  <cp:revision>8</cp:revision>
  <dcterms:created xsi:type="dcterms:W3CDTF">2022-07-08T07:35:00Z</dcterms:created>
  <dcterms:modified xsi:type="dcterms:W3CDTF">2022-07-08T13:36:00Z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0x010100C56E3B77D6FDBE438CA9E00A06E573E2</vt:lpwstr>
  </property>
</Properties>
</file>